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DCDF" w14:textId="14D507FC" w:rsidR="00476D62" w:rsidRPr="00C8344A" w:rsidRDefault="00442E4A" w:rsidP="0038356E">
      <w:pPr>
        <w:jc w:val="both"/>
        <w:rPr>
          <w:b/>
          <w:bCs/>
          <w:lang w:val="en-GB"/>
        </w:rPr>
      </w:pPr>
      <w:r w:rsidRPr="00C8344A">
        <w:rPr>
          <w:b/>
          <w:bCs/>
          <w:lang w:val="en-GB"/>
        </w:rPr>
        <w:t>The journey</w:t>
      </w:r>
      <w:r w:rsidR="00476D62" w:rsidRPr="00C8344A">
        <w:rPr>
          <w:b/>
          <w:bCs/>
        </w:rPr>
        <w:t xml:space="preserve"> to </w:t>
      </w:r>
      <w:r w:rsidR="00604835" w:rsidRPr="00C8344A">
        <w:rPr>
          <w:b/>
          <w:bCs/>
          <w:lang w:val="en-GB"/>
        </w:rPr>
        <w:t>cancer centres of excellence</w:t>
      </w:r>
    </w:p>
    <w:p w14:paraId="5E032828" w14:textId="7788A594" w:rsidR="00476D62" w:rsidRPr="00C8344A" w:rsidRDefault="00CA2128" w:rsidP="0038356E">
      <w:pPr>
        <w:jc w:val="both"/>
        <w:rPr>
          <w:b/>
          <w:bCs/>
          <w:lang w:val="nl-NL"/>
        </w:rPr>
      </w:pPr>
      <w:r w:rsidRPr="00C8344A">
        <w:rPr>
          <w:rFonts w:ascii="Calibri" w:hAnsi="Calibri" w:cs="Calibri"/>
          <w:b/>
          <w:bCs/>
          <w:lang w:val="nl-NL"/>
        </w:rPr>
        <w:t xml:space="preserve">Explanation of the </w:t>
      </w:r>
      <w:r w:rsidR="00810573" w:rsidRPr="00C8344A">
        <w:rPr>
          <w:rFonts w:ascii="Calibri" w:hAnsi="Calibri" w:cs="Calibri"/>
          <w:b/>
          <w:bCs/>
          <w:lang w:val="nl-NL"/>
        </w:rPr>
        <w:t>survey</w:t>
      </w:r>
      <w:r w:rsidR="00C8344A" w:rsidRPr="00C8344A">
        <w:rPr>
          <w:b/>
          <w:bCs/>
          <w:lang w:val="en-GB"/>
        </w:rPr>
        <w:t xml:space="preserve">, </w:t>
      </w:r>
      <w:r w:rsidRPr="00C8344A">
        <w:rPr>
          <w:b/>
          <w:bCs/>
          <w:lang w:val="nl-NL"/>
        </w:rPr>
        <w:t>method and analysis</w:t>
      </w:r>
    </w:p>
    <w:p w14:paraId="16F92CDA" w14:textId="10FCC829" w:rsidR="00476D62" w:rsidRPr="00F51BC1" w:rsidRDefault="00476D62" w:rsidP="00F51BC1">
      <w:pPr>
        <w:jc w:val="both"/>
        <w:rPr>
          <w:lang w:val="en-GB"/>
        </w:rPr>
      </w:pPr>
      <w:r>
        <w:t>The purpose of this</w:t>
      </w:r>
      <w:r w:rsidR="00CA2128">
        <w:rPr>
          <w:lang w:val="nl-NL"/>
        </w:rPr>
        <w:t xml:space="preserve"> </w:t>
      </w:r>
      <w:r w:rsidR="00CA2128" w:rsidRPr="00B776CC">
        <w:rPr>
          <w:bCs/>
          <w:lang w:val="nl-NL"/>
        </w:rPr>
        <w:t>investigation</w:t>
      </w:r>
      <w:r w:rsidRPr="00B776CC">
        <w:rPr>
          <w:bCs/>
        </w:rPr>
        <w:t xml:space="preserve"> is</w:t>
      </w:r>
      <w:r w:rsidRPr="00B776CC">
        <w:t xml:space="preserve"> </w:t>
      </w:r>
      <w:r>
        <w:t>to determine which cancer cent</w:t>
      </w:r>
      <w:r w:rsidR="009F3B18">
        <w:rPr>
          <w:lang w:val="en-GB"/>
        </w:rPr>
        <w:t>re</w:t>
      </w:r>
      <w:r>
        <w:t>s ar</w:t>
      </w:r>
      <w:r w:rsidR="00CA2128">
        <w:rPr>
          <w:lang w:val="nl-NL"/>
        </w:rPr>
        <w:t xml:space="preserve">e </w:t>
      </w:r>
      <w:r w:rsidR="00CA2128" w:rsidRPr="00B776CC">
        <w:rPr>
          <w:bCs/>
          <w:lang w:val="nl-NL"/>
        </w:rPr>
        <w:t>considered</w:t>
      </w:r>
      <w:r w:rsidRPr="00B776CC">
        <w:rPr>
          <w:bCs/>
        </w:rPr>
        <w:t xml:space="preserve"> </w:t>
      </w:r>
      <w:r>
        <w:t>by medical specialists</w:t>
      </w:r>
      <w:r w:rsidR="00754A53">
        <w:rPr>
          <w:lang w:val="en-GB"/>
        </w:rPr>
        <w:t xml:space="preserve"> </w:t>
      </w:r>
      <w:r>
        <w:t xml:space="preserve">as </w:t>
      </w:r>
      <w:r w:rsidR="00604835">
        <w:rPr>
          <w:lang w:val="en-GB"/>
        </w:rPr>
        <w:t xml:space="preserve">cancer centres of </w:t>
      </w:r>
      <w:r>
        <w:t>excellen</w:t>
      </w:r>
      <w:proofErr w:type="spellStart"/>
      <w:r w:rsidR="00604835">
        <w:rPr>
          <w:lang w:val="en-GB"/>
        </w:rPr>
        <w:t>ce</w:t>
      </w:r>
      <w:proofErr w:type="spellEnd"/>
      <w:r>
        <w:t xml:space="preserve"> for </w:t>
      </w:r>
      <w:r w:rsidR="00754A53">
        <w:rPr>
          <w:lang w:val="en-GB"/>
        </w:rPr>
        <w:t>specific</w:t>
      </w:r>
      <w:r>
        <w:t xml:space="preserve"> tumo</w:t>
      </w:r>
      <w:r w:rsidR="00604835">
        <w:rPr>
          <w:lang w:val="en-GB"/>
        </w:rPr>
        <w:t>u</w:t>
      </w:r>
      <w:r>
        <w:t>r type</w:t>
      </w:r>
      <w:r w:rsidR="00754A53">
        <w:rPr>
          <w:lang w:val="en-GB"/>
        </w:rPr>
        <w:t>s</w:t>
      </w:r>
      <w:r>
        <w:t xml:space="preserve">. We want </w:t>
      </w:r>
      <w:r w:rsidR="006E4DA6">
        <w:rPr>
          <w:lang w:val="en-GB"/>
        </w:rPr>
        <w:t xml:space="preserve">to make </w:t>
      </w:r>
      <w:r>
        <w:t>this</w:t>
      </w:r>
      <w:r w:rsidR="008A2C28">
        <w:rPr>
          <w:lang w:val="en-GB"/>
        </w:rPr>
        <w:t xml:space="preserve"> view </w:t>
      </w:r>
      <w:r>
        <w:t xml:space="preserve">available to patients and </w:t>
      </w:r>
      <w:r w:rsidR="00CB4E5B">
        <w:rPr>
          <w:lang w:val="en-GB"/>
        </w:rPr>
        <w:t>g</w:t>
      </w:r>
      <w:r w:rsidR="008A2C28">
        <w:rPr>
          <w:lang w:val="en-GB"/>
        </w:rPr>
        <w:t xml:space="preserve">eneral </w:t>
      </w:r>
      <w:proofErr w:type="spellStart"/>
      <w:r w:rsidR="00CB4E5B">
        <w:rPr>
          <w:lang w:val="en-GB"/>
        </w:rPr>
        <w:t>p</w:t>
      </w:r>
      <w:r w:rsidR="008A2C28">
        <w:rPr>
          <w:lang w:val="en-GB"/>
        </w:rPr>
        <w:t>ractioner</w:t>
      </w:r>
      <w:proofErr w:type="spellEnd"/>
      <w:r>
        <w:t xml:space="preserve">s because they </w:t>
      </w:r>
      <w:r w:rsidR="0038356E">
        <w:rPr>
          <w:lang w:val="en-GB"/>
        </w:rPr>
        <w:t>don’t</w:t>
      </w:r>
      <w:r>
        <w:t xml:space="preserve"> </w:t>
      </w:r>
      <w:r w:rsidR="00CB4E5B">
        <w:rPr>
          <w:lang w:val="en-GB"/>
        </w:rPr>
        <w:t xml:space="preserve">always </w:t>
      </w:r>
      <w:r>
        <w:t xml:space="preserve">know where the </w:t>
      </w:r>
      <w:r w:rsidR="0038356E">
        <w:rPr>
          <w:lang w:val="en-GB"/>
        </w:rPr>
        <w:t>best cancer centres of excellence are located.</w:t>
      </w:r>
      <w:r w:rsidR="00A24722">
        <w:rPr>
          <w:lang w:val="en-GB"/>
        </w:rPr>
        <w:t xml:space="preserve"> </w:t>
      </w:r>
      <w:r>
        <w:t>A second objective is to initiate discussion</w:t>
      </w:r>
      <w:r w:rsidR="007B1B4E">
        <w:rPr>
          <w:lang w:val="en-GB"/>
        </w:rPr>
        <w:t xml:space="preserve"> about </w:t>
      </w:r>
      <w:r>
        <w:t>why cancer patients do</w:t>
      </w:r>
      <w:proofErr w:type="spellStart"/>
      <w:r w:rsidR="007B1B4E">
        <w:rPr>
          <w:lang w:val="en-GB"/>
        </w:rPr>
        <w:t>n’t</w:t>
      </w:r>
      <w:proofErr w:type="spellEnd"/>
      <w:r w:rsidR="007B1B4E">
        <w:rPr>
          <w:lang w:val="en-GB"/>
        </w:rPr>
        <w:t xml:space="preserve"> always</w:t>
      </w:r>
      <w:r>
        <w:t xml:space="preserve"> receive the best treatment </w:t>
      </w:r>
      <w:r w:rsidR="001D0C25">
        <w:rPr>
          <w:lang w:val="en-GB"/>
        </w:rPr>
        <w:t>when</w:t>
      </w:r>
      <w:r>
        <w:t xml:space="preserve"> their </w:t>
      </w:r>
      <w:r w:rsidR="007B1B4E">
        <w:rPr>
          <w:lang w:val="en-GB"/>
        </w:rPr>
        <w:t>post</w:t>
      </w:r>
      <w:r>
        <w:t>code</w:t>
      </w:r>
      <w:r w:rsidR="00CA2128">
        <w:rPr>
          <w:lang w:val="nl-NL"/>
        </w:rPr>
        <w:t xml:space="preserve"> </w:t>
      </w:r>
      <w:r w:rsidR="00CA2128" w:rsidRPr="00B776CC">
        <w:rPr>
          <w:bCs/>
          <w:lang w:val="nl-NL"/>
        </w:rPr>
        <w:t>happens to be</w:t>
      </w:r>
      <w:r w:rsidRPr="00B776CC">
        <w:t xml:space="preserve"> </w:t>
      </w:r>
      <w:r>
        <w:t>too far</w:t>
      </w:r>
      <w:r w:rsidR="007B1B4E">
        <w:rPr>
          <w:lang w:val="en-GB"/>
        </w:rPr>
        <w:t xml:space="preserve"> </w:t>
      </w:r>
      <w:r>
        <w:t>away from one of these top cent</w:t>
      </w:r>
      <w:r w:rsidR="007B1B4E">
        <w:rPr>
          <w:lang w:val="en-GB"/>
        </w:rPr>
        <w:t>re</w:t>
      </w:r>
      <w:r>
        <w:t xml:space="preserve">s. This research </w:t>
      </w:r>
      <w:r w:rsidR="00A24722">
        <w:rPr>
          <w:lang w:val="en-GB"/>
        </w:rPr>
        <w:t xml:space="preserve">is based on </w:t>
      </w:r>
      <w:r w:rsidR="001D0C25">
        <w:rPr>
          <w:lang w:val="en-GB"/>
        </w:rPr>
        <w:t xml:space="preserve">a </w:t>
      </w:r>
      <w:r>
        <w:t xml:space="preserve">opinion/perception </w:t>
      </w:r>
      <w:r w:rsidR="001D0C25">
        <w:rPr>
          <w:lang w:val="en-GB"/>
        </w:rPr>
        <w:t>survey</w:t>
      </w:r>
      <w:r>
        <w:t xml:space="preserve"> among medical specialists</w:t>
      </w:r>
      <w:r w:rsidR="00F51BC1">
        <w:rPr>
          <w:lang w:val="en-GB"/>
        </w:rPr>
        <w:t xml:space="preserve"> and </w:t>
      </w:r>
      <w:r>
        <w:t>the result</w:t>
      </w:r>
      <w:r w:rsidR="00F51BC1">
        <w:rPr>
          <w:lang w:val="en-GB"/>
        </w:rPr>
        <w:t xml:space="preserve">, </w:t>
      </w:r>
      <w:r>
        <w:t>therefore</w:t>
      </w:r>
      <w:r w:rsidR="00F51BC1">
        <w:rPr>
          <w:lang w:val="en-GB"/>
        </w:rPr>
        <w:t xml:space="preserve">, </w:t>
      </w:r>
      <w:r>
        <w:t xml:space="preserve">does not </w:t>
      </w:r>
      <w:r w:rsidR="00F51BC1">
        <w:rPr>
          <w:lang w:val="en-GB"/>
        </w:rPr>
        <w:t xml:space="preserve">constitute </w:t>
      </w:r>
      <w:r>
        <w:t xml:space="preserve">advice to patients but rather an </w:t>
      </w:r>
      <w:r w:rsidR="00F51BC1">
        <w:rPr>
          <w:lang w:val="en-GB"/>
        </w:rPr>
        <w:t xml:space="preserve">additional source of </w:t>
      </w:r>
      <w:r>
        <w:t>information</w:t>
      </w:r>
      <w:r w:rsidR="00F51BC1">
        <w:rPr>
          <w:lang w:val="en-GB"/>
        </w:rPr>
        <w:t>.</w:t>
      </w:r>
    </w:p>
    <w:p w14:paraId="627414DB" w14:textId="7EE55B0A" w:rsidR="00476D62" w:rsidRPr="00AB7732" w:rsidRDefault="00476D62" w:rsidP="00C3105F">
      <w:pPr>
        <w:jc w:val="both"/>
        <w:rPr>
          <w:lang w:val="en-GB"/>
        </w:rPr>
      </w:pPr>
      <w:r>
        <w:t>In the period from February 1 to March 1, 2020, the research agency IQVIA</w:t>
      </w:r>
      <w:r w:rsidR="00CF4894">
        <w:rPr>
          <w:rStyle w:val="FootnoteReference"/>
        </w:rPr>
        <w:footnoteReference w:id="1"/>
      </w:r>
      <w:r>
        <w:t xml:space="preserve"> </w:t>
      </w:r>
      <w:r w:rsidR="00F95F30">
        <w:rPr>
          <w:lang w:val="en-GB"/>
        </w:rPr>
        <w:t>invited</w:t>
      </w:r>
      <w:r>
        <w:t xml:space="preserve"> medical</w:t>
      </w:r>
      <w:r w:rsidR="00F95F30">
        <w:rPr>
          <w:lang w:val="en-GB"/>
        </w:rPr>
        <w:t xml:space="preserve"> </w:t>
      </w:r>
      <w:r>
        <w:t xml:space="preserve">specialists </w:t>
      </w:r>
      <w:r w:rsidR="00F95F30">
        <w:rPr>
          <w:lang w:val="en-GB"/>
        </w:rPr>
        <w:t>to respond to the following</w:t>
      </w:r>
      <w:r w:rsidR="005625D3">
        <w:rPr>
          <w:lang w:val="en-GB"/>
        </w:rPr>
        <w:t xml:space="preserve"> question</w:t>
      </w:r>
      <w:r>
        <w:t xml:space="preserve"> “</w:t>
      </w:r>
      <w:r w:rsidR="004D3D3E">
        <w:rPr>
          <w:lang w:val="en-GB"/>
        </w:rPr>
        <w:t>Please</w:t>
      </w:r>
      <w:r>
        <w:t xml:space="preserve"> indicate </w:t>
      </w:r>
      <w:r w:rsidR="000C27DD">
        <w:rPr>
          <w:lang w:val="en-GB"/>
        </w:rPr>
        <w:t>for the</w:t>
      </w:r>
      <w:r>
        <w:t xml:space="preserve"> following oncological indications</w:t>
      </w:r>
      <w:r w:rsidR="00F95F30">
        <w:rPr>
          <w:lang w:val="en-GB"/>
        </w:rPr>
        <w:t xml:space="preserve"> </w:t>
      </w:r>
      <w:r w:rsidR="000C27DD">
        <w:rPr>
          <w:lang w:val="en-GB"/>
        </w:rPr>
        <w:t xml:space="preserve">which </w:t>
      </w:r>
      <w:r>
        <w:t>cancer cent</w:t>
      </w:r>
      <w:r w:rsidR="000C27DD">
        <w:rPr>
          <w:lang w:val="en-GB"/>
        </w:rPr>
        <w:t>re</w:t>
      </w:r>
      <w:r>
        <w:t>s</w:t>
      </w:r>
      <w:r w:rsidR="00AB7732">
        <w:rPr>
          <w:lang w:val="en-GB"/>
        </w:rPr>
        <w:t xml:space="preserve"> in the Netherlands</w:t>
      </w:r>
      <w:r w:rsidR="000C27DD">
        <w:rPr>
          <w:lang w:val="en-GB"/>
        </w:rPr>
        <w:t xml:space="preserve">, in your view, </w:t>
      </w:r>
      <w:r w:rsidR="00AB7732">
        <w:rPr>
          <w:lang w:val="en-GB"/>
        </w:rPr>
        <w:t>are</w:t>
      </w:r>
      <w:r>
        <w:t xml:space="preserve"> the top 3 in terms of quality of care”</w:t>
      </w:r>
      <w:r w:rsidR="00AB7732">
        <w:rPr>
          <w:lang w:val="en-GB"/>
        </w:rPr>
        <w:t>.</w:t>
      </w:r>
    </w:p>
    <w:p w14:paraId="3D1A0162" w14:textId="77777777" w:rsidR="00476D62" w:rsidRDefault="00476D62" w:rsidP="00476D62">
      <w:r>
        <w:t>During this period, this question was asked for the following oncological indications:</w:t>
      </w:r>
    </w:p>
    <w:p w14:paraId="29B3EBB0" w14:textId="77777777" w:rsidR="00476D62" w:rsidRDefault="00476D62" w:rsidP="00476D62">
      <w:r>
        <w:t>- Uterine cancer</w:t>
      </w:r>
    </w:p>
    <w:p w14:paraId="766585AB" w14:textId="361D3803" w:rsidR="00476D62" w:rsidRDefault="00604835" w:rsidP="00476D62">
      <w:r>
        <w:rPr>
          <w:lang w:val="en-GB"/>
        </w:rPr>
        <w:t xml:space="preserve">- </w:t>
      </w:r>
      <w:r w:rsidR="00476D62">
        <w:t>Bladder cancer</w:t>
      </w:r>
    </w:p>
    <w:p w14:paraId="2FC5DCF2" w14:textId="77777777" w:rsidR="00476D62" w:rsidRDefault="00476D62" w:rsidP="00476D62">
      <w:r>
        <w:t>- Breast cancer</w:t>
      </w:r>
    </w:p>
    <w:p w14:paraId="54B9F213" w14:textId="77777777" w:rsidR="00476D62" w:rsidRDefault="00476D62" w:rsidP="00476D62">
      <w:r>
        <w:t>- Colon cancer</w:t>
      </w:r>
    </w:p>
    <w:p w14:paraId="7C88ABA6" w14:textId="77777777" w:rsidR="00476D62" w:rsidRDefault="00476D62" w:rsidP="00476D62">
      <w:r>
        <w:t>- Head and neck cancer</w:t>
      </w:r>
    </w:p>
    <w:p w14:paraId="222DFCF6" w14:textId="77777777" w:rsidR="00476D62" w:rsidRDefault="00476D62" w:rsidP="00476D62">
      <w:r>
        <w:t>- Non-small cell lung carcinoma (NSCLC)</w:t>
      </w:r>
    </w:p>
    <w:p w14:paraId="594E345F" w14:textId="77777777" w:rsidR="00476D62" w:rsidRDefault="00476D62" w:rsidP="00476D62">
      <w:r>
        <w:t>- Small cell lung carcinoma (SCLC)</w:t>
      </w:r>
    </w:p>
    <w:p w14:paraId="283BF389" w14:textId="77777777" w:rsidR="00476D62" w:rsidRDefault="00476D62" w:rsidP="00476D62">
      <w:r>
        <w:t>- Melanomas</w:t>
      </w:r>
    </w:p>
    <w:p w14:paraId="1EFA8C23" w14:textId="4C010EDD" w:rsidR="00476D62" w:rsidRDefault="00604835" w:rsidP="00476D62">
      <w:r>
        <w:rPr>
          <w:lang w:val="en-GB"/>
        </w:rPr>
        <w:t xml:space="preserve">- </w:t>
      </w:r>
      <w:r w:rsidR="00476D62">
        <w:t>Kidney cancer</w:t>
      </w:r>
    </w:p>
    <w:p w14:paraId="0CDEEB7E" w14:textId="77777777" w:rsidR="00476D62" w:rsidRDefault="00476D62" w:rsidP="00476D62">
      <w:r>
        <w:t>- Ovarian cancer</w:t>
      </w:r>
    </w:p>
    <w:p w14:paraId="5EFCECE8" w14:textId="77777777" w:rsidR="00476D62" w:rsidRDefault="00476D62" w:rsidP="00476D62">
      <w:r>
        <w:t>- Pancreatic cancer</w:t>
      </w:r>
    </w:p>
    <w:p w14:paraId="28195999" w14:textId="77777777" w:rsidR="00476D62" w:rsidRDefault="00476D62" w:rsidP="00476D62">
      <w:r>
        <w:t>- Prostate cancer</w:t>
      </w:r>
    </w:p>
    <w:p w14:paraId="6B97609B" w14:textId="7CBAFAAF" w:rsidR="00476D62" w:rsidRDefault="00476D62" w:rsidP="00476D62">
      <w:r>
        <w:t xml:space="preserve">- </w:t>
      </w:r>
      <w:proofErr w:type="spellStart"/>
      <w:r w:rsidR="003B01CD">
        <w:rPr>
          <w:lang w:val="en-GB"/>
        </w:rPr>
        <w:t>Oe</w:t>
      </w:r>
      <w:proofErr w:type="spellEnd"/>
      <w:r>
        <w:t>sophag</w:t>
      </w:r>
      <w:proofErr w:type="spellStart"/>
      <w:r w:rsidR="004D1203">
        <w:rPr>
          <w:lang w:val="en-GB"/>
        </w:rPr>
        <w:t>eal</w:t>
      </w:r>
      <w:proofErr w:type="spellEnd"/>
      <w:r>
        <w:t>/stomach cancer</w:t>
      </w:r>
    </w:p>
    <w:p w14:paraId="118B04F0" w14:textId="1D49372B" w:rsidR="00476D62" w:rsidRDefault="00476D62" w:rsidP="00476D62"/>
    <w:p w14:paraId="6867C1CF" w14:textId="11EB9C19" w:rsidR="00476D62" w:rsidRPr="00B24A73" w:rsidRDefault="00476D62" w:rsidP="002002B8">
      <w:pPr>
        <w:jc w:val="both"/>
        <w:rPr>
          <w:lang w:val="en-GB"/>
        </w:rPr>
      </w:pPr>
      <w:r>
        <w:t xml:space="preserve">In the coming months, more medical specialists will be approached to </w:t>
      </w:r>
      <w:r w:rsidR="00363A0B">
        <w:rPr>
          <w:lang w:val="en-GB"/>
        </w:rPr>
        <w:t>both increase</w:t>
      </w:r>
      <w:r>
        <w:t xml:space="preserve"> the number</w:t>
      </w:r>
      <w:r w:rsidR="00363A0B">
        <w:rPr>
          <w:lang w:val="en-GB"/>
        </w:rPr>
        <w:t xml:space="preserve"> of </w:t>
      </w:r>
      <w:r>
        <w:t xml:space="preserve">respondents </w:t>
      </w:r>
      <w:r w:rsidR="002F72E6">
        <w:rPr>
          <w:lang w:val="en-GB"/>
        </w:rPr>
        <w:t xml:space="preserve">and </w:t>
      </w:r>
      <w:r w:rsidR="006A0985">
        <w:rPr>
          <w:lang w:val="en-GB"/>
        </w:rPr>
        <w:t xml:space="preserve">also </w:t>
      </w:r>
      <w:r w:rsidR="002F72E6">
        <w:rPr>
          <w:lang w:val="en-GB"/>
        </w:rPr>
        <w:t xml:space="preserve">get a clearer picture of their vision </w:t>
      </w:r>
      <w:r w:rsidR="006A0985">
        <w:rPr>
          <w:lang w:val="en-GB"/>
        </w:rPr>
        <w:t>for additional</w:t>
      </w:r>
      <w:r>
        <w:t xml:space="preserve"> tumo</w:t>
      </w:r>
      <w:r w:rsidR="002F72E6">
        <w:rPr>
          <w:lang w:val="en-GB"/>
        </w:rPr>
        <w:t>u</w:t>
      </w:r>
      <w:r>
        <w:t>r type</w:t>
      </w:r>
      <w:r w:rsidR="002F72E6">
        <w:rPr>
          <w:lang w:val="en-GB"/>
        </w:rPr>
        <w:t>s</w:t>
      </w:r>
      <w:r>
        <w:t xml:space="preserve">. In this respect, this study can be considered a </w:t>
      </w:r>
      <w:r w:rsidR="00C21FD0">
        <w:rPr>
          <w:lang w:val="en-GB"/>
        </w:rPr>
        <w:t>“</w:t>
      </w:r>
      <w:r>
        <w:t>moving train</w:t>
      </w:r>
      <w:r w:rsidR="00C21FD0">
        <w:rPr>
          <w:lang w:val="en-GB"/>
        </w:rPr>
        <w:t>”</w:t>
      </w:r>
      <w:r w:rsidR="00B24A73">
        <w:rPr>
          <w:lang w:val="en-GB"/>
        </w:rPr>
        <w:t xml:space="preserve"> and </w:t>
      </w:r>
      <w:r>
        <w:t xml:space="preserve">more results will </w:t>
      </w:r>
      <w:r w:rsidR="00B24A73">
        <w:rPr>
          <w:lang w:val="en-GB"/>
        </w:rPr>
        <w:t xml:space="preserve">follow later </w:t>
      </w:r>
      <w:r w:rsidR="00B53A24">
        <w:rPr>
          <w:lang w:val="en-GB"/>
        </w:rPr>
        <w:t>in the</w:t>
      </w:r>
      <w:r w:rsidR="00B24A73">
        <w:rPr>
          <w:lang w:val="en-GB"/>
        </w:rPr>
        <w:t xml:space="preserve"> </w:t>
      </w:r>
      <w:r>
        <w:t>year.</w:t>
      </w:r>
    </w:p>
    <w:p w14:paraId="1CD62724" w14:textId="37AE1E2E" w:rsidR="00476D62" w:rsidRPr="002002B8" w:rsidRDefault="00FA350B" w:rsidP="002002B8">
      <w:pPr>
        <w:jc w:val="both"/>
        <w:rPr>
          <w:lang w:val="en-GB"/>
        </w:rPr>
      </w:pPr>
      <w:r>
        <w:rPr>
          <w:lang w:val="en-GB"/>
        </w:rPr>
        <w:t>We currently consider</w:t>
      </w:r>
      <w:r w:rsidR="00476D62">
        <w:t xml:space="preserve"> </w:t>
      </w:r>
      <w:r w:rsidR="0041652C">
        <w:rPr>
          <w:lang w:val="en-GB"/>
        </w:rPr>
        <w:t xml:space="preserve">it premature to publish </w:t>
      </w:r>
      <w:r w:rsidR="00476D62">
        <w:t xml:space="preserve">the </w:t>
      </w:r>
      <w:r>
        <w:rPr>
          <w:lang w:val="en-GB"/>
        </w:rPr>
        <w:t xml:space="preserve">survey </w:t>
      </w:r>
      <w:r w:rsidR="00476D62">
        <w:t>results for uterine, bladder, kidney,</w:t>
      </w:r>
      <w:r w:rsidR="00AF552D">
        <w:rPr>
          <w:lang w:val="en-GB"/>
        </w:rPr>
        <w:t xml:space="preserve"> </w:t>
      </w:r>
      <w:r w:rsidR="00476D62">
        <w:t>ovarian and prostate cancer</w:t>
      </w:r>
      <w:r w:rsidR="00AF552D">
        <w:rPr>
          <w:lang w:val="en-GB"/>
        </w:rPr>
        <w:t>s</w:t>
      </w:r>
      <w:r w:rsidR="00476D62">
        <w:t xml:space="preserve">. We expect </w:t>
      </w:r>
      <w:r w:rsidR="002002B8">
        <w:rPr>
          <w:lang w:val="en-GB"/>
        </w:rPr>
        <w:t>to come</w:t>
      </w:r>
      <w:r w:rsidR="00476D62">
        <w:t xml:space="preserve"> back later this year </w:t>
      </w:r>
      <w:r w:rsidR="002002B8">
        <w:rPr>
          <w:lang w:val="en-GB"/>
        </w:rPr>
        <w:t xml:space="preserve">with more information for these tumour </w:t>
      </w:r>
      <w:r w:rsidR="002002B8">
        <w:rPr>
          <w:lang w:val="en-GB"/>
        </w:rPr>
        <w:lastRenderedPageBreak/>
        <w:t xml:space="preserve">types. </w:t>
      </w:r>
      <w:r w:rsidR="00476D62">
        <w:t>The same goes for (non</w:t>
      </w:r>
      <w:r w:rsidR="007B4A7C">
        <w:rPr>
          <w:lang w:val="en-GB"/>
        </w:rPr>
        <w:t>-</w:t>
      </w:r>
      <w:r w:rsidR="00476D62">
        <w:t>)</w:t>
      </w:r>
      <w:r w:rsidR="004800F6">
        <w:rPr>
          <w:lang w:val="en-GB"/>
        </w:rPr>
        <w:t xml:space="preserve"> </w:t>
      </w:r>
      <w:r w:rsidR="00476D62">
        <w:t>Hodgkin</w:t>
      </w:r>
      <w:r w:rsidR="004800F6">
        <w:rPr>
          <w:lang w:val="en-GB"/>
        </w:rPr>
        <w:t xml:space="preserve"> lymphoma</w:t>
      </w:r>
      <w:r w:rsidR="00476D62">
        <w:t>,</w:t>
      </w:r>
      <w:r w:rsidR="002002B8">
        <w:rPr>
          <w:lang w:val="en-GB"/>
        </w:rPr>
        <w:t xml:space="preserve"> </w:t>
      </w:r>
      <w:r w:rsidR="00476D62">
        <w:t>glioblastomas, head and neck cancer, leukemia, mesothelioma, multiple myeloma and myelodysplastic</w:t>
      </w:r>
      <w:r w:rsidR="002002B8">
        <w:rPr>
          <w:lang w:val="en-GB"/>
        </w:rPr>
        <w:t xml:space="preserve"> </w:t>
      </w:r>
      <w:r w:rsidR="00476D62">
        <w:t>syndrome.</w:t>
      </w:r>
    </w:p>
    <w:p w14:paraId="53CCEDF1" w14:textId="67FC8061" w:rsidR="00476D62" w:rsidRDefault="00476D62" w:rsidP="00134463">
      <w:pPr>
        <w:jc w:val="both"/>
      </w:pPr>
      <w:r>
        <w:t>This also applies to tumo</w:t>
      </w:r>
      <w:r w:rsidR="002E2927">
        <w:rPr>
          <w:lang w:val="en-GB"/>
        </w:rPr>
        <w:t>u</w:t>
      </w:r>
      <w:r>
        <w:t xml:space="preserve">r types </w:t>
      </w:r>
      <w:r w:rsidR="002E2927">
        <w:rPr>
          <w:lang w:val="en-GB"/>
        </w:rPr>
        <w:t>which have not</w:t>
      </w:r>
      <w:r>
        <w:t xml:space="preserve"> yet </w:t>
      </w:r>
      <w:r w:rsidR="002E2927">
        <w:rPr>
          <w:lang w:val="en-GB"/>
        </w:rPr>
        <w:t xml:space="preserve">been </w:t>
      </w:r>
      <w:r>
        <w:t>included in the questionnaire, such as</w:t>
      </w:r>
      <w:r w:rsidR="00506E5C">
        <w:rPr>
          <w:lang w:val="en-GB"/>
        </w:rPr>
        <w:t xml:space="preserve"> </w:t>
      </w:r>
      <w:r>
        <w:t>tumo</w:t>
      </w:r>
      <w:r w:rsidR="00506E5C">
        <w:rPr>
          <w:lang w:val="en-GB"/>
        </w:rPr>
        <w:t>u</w:t>
      </w:r>
      <w:r>
        <w:t>rs in the field of h</w:t>
      </w:r>
      <w:r w:rsidR="00506E5C">
        <w:rPr>
          <w:lang w:val="en-GB"/>
        </w:rPr>
        <w:t>a</w:t>
      </w:r>
      <w:r>
        <w:t xml:space="preserve">ematology for example. </w:t>
      </w:r>
      <w:r w:rsidR="00506E5C">
        <w:rPr>
          <w:lang w:val="en-GB"/>
        </w:rPr>
        <w:t>Furthermore</w:t>
      </w:r>
      <w:r>
        <w:t>, question categories will become</w:t>
      </w:r>
      <w:r w:rsidR="00506E5C">
        <w:rPr>
          <w:lang w:val="en-GB"/>
        </w:rPr>
        <w:t xml:space="preserve"> more </w:t>
      </w:r>
      <w:r>
        <w:t>detailed</w:t>
      </w:r>
      <w:r w:rsidR="007B4A7C">
        <w:rPr>
          <w:lang w:val="en-GB"/>
        </w:rPr>
        <w:t xml:space="preserve"> e.g.</w:t>
      </w:r>
      <w:r>
        <w:t xml:space="preserve"> uterine cancer will be split into cervical cancer and</w:t>
      </w:r>
      <w:r w:rsidR="00506E5C">
        <w:rPr>
          <w:lang w:val="en-GB"/>
        </w:rPr>
        <w:t xml:space="preserve"> </w:t>
      </w:r>
      <w:r>
        <w:t>uterine cancer</w:t>
      </w:r>
      <w:r w:rsidR="00BC7509">
        <w:rPr>
          <w:lang w:val="en-GB"/>
        </w:rPr>
        <w:t>,</w:t>
      </w:r>
      <w:r>
        <w:t xml:space="preserve"> colon cancer in</w:t>
      </w:r>
      <w:r w:rsidR="00506E5C">
        <w:rPr>
          <w:lang w:val="en-GB"/>
        </w:rPr>
        <w:t>to</w:t>
      </w:r>
      <w:r>
        <w:t xml:space="preserve"> colon cancer and rectal cancer, and </w:t>
      </w:r>
      <w:r w:rsidR="00A447F2">
        <w:rPr>
          <w:lang w:val="en-GB"/>
        </w:rPr>
        <w:t>o</w:t>
      </w:r>
      <w:r>
        <w:t>esophageal and</w:t>
      </w:r>
      <w:r w:rsidR="00506E5C">
        <w:rPr>
          <w:lang w:val="en-GB"/>
        </w:rPr>
        <w:t xml:space="preserve"> </w:t>
      </w:r>
      <w:r>
        <w:t xml:space="preserve">stomach cancers </w:t>
      </w:r>
      <w:r w:rsidR="00A447F2">
        <w:rPr>
          <w:lang w:val="en-GB"/>
        </w:rPr>
        <w:t>will be</w:t>
      </w:r>
      <w:r>
        <w:t xml:space="preserve"> addressed individually. This only applies to the survey among medical</w:t>
      </w:r>
      <w:r w:rsidR="00A447F2">
        <w:rPr>
          <w:lang w:val="en-GB"/>
        </w:rPr>
        <w:t xml:space="preserve"> </w:t>
      </w:r>
      <w:r>
        <w:t xml:space="preserve">specialists: it is definitely not </w:t>
      </w:r>
      <w:r w:rsidR="00A447F2">
        <w:rPr>
          <w:lang w:val="en-GB"/>
        </w:rPr>
        <w:t>our</w:t>
      </w:r>
      <w:r>
        <w:t xml:space="preserve"> intention to compartmentali</w:t>
      </w:r>
      <w:r w:rsidR="00A447F2">
        <w:rPr>
          <w:lang w:val="en-GB"/>
        </w:rPr>
        <w:t>s</w:t>
      </w:r>
      <w:r>
        <w:t xml:space="preserve">e the human body. </w:t>
      </w:r>
      <w:proofErr w:type="gramStart"/>
      <w:r w:rsidR="006B2792">
        <w:rPr>
          <w:lang w:val="en-GB"/>
        </w:rPr>
        <w:t>It’s</w:t>
      </w:r>
      <w:proofErr w:type="gramEnd"/>
      <w:r>
        <w:t xml:space="preserve"> possible</w:t>
      </w:r>
      <w:r w:rsidR="00A447F2">
        <w:rPr>
          <w:lang w:val="en-GB"/>
        </w:rPr>
        <w:t xml:space="preserve"> </w:t>
      </w:r>
      <w:r w:rsidR="006B2792">
        <w:rPr>
          <w:lang w:val="en-GB"/>
        </w:rPr>
        <w:t xml:space="preserve">that </w:t>
      </w:r>
      <w:r>
        <w:t xml:space="preserve">the same cancer can occur in the stomach, </w:t>
      </w:r>
      <w:r w:rsidR="006B2792">
        <w:rPr>
          <w:lang w:val="en-GB"/>
        </w:rPr>
        <w:t>o</w:t>
      </w:r>
      <w:r>
        <w:t>esophagus and in between. This is an example</w:t>
      </w:r>
      <w:r w:rsidR="006B2792">
        <w:rPr>
          <w:lang w:val="en-GB"/>
        </w:rPr>
        <w:t xml:space="preserve"> </w:t>
      </w:r>
      <w:r>
        <w:t xml:space="preserve">in which the super specialist in this type of cancer must fully </w:t>
      </w:r>
      <w:r w:rsidR="00482CD9">
        <w:rPr>
          <w:lang w:val="en-GB"/>
        </w:rPr>
        <w:t>master</w:t>
      </w:r>
      <w:r>
        <w:t xml:space="preserve"> all three </w:t>
      </w:r>
      <w:r w:rsidR="00D15915">
        <w:rPr>
          <w:lang w:val="en-GB"/>
        </w:rPr>
        <w:t>tumour sites</w:t>
      </w:r>
      <w:r>
        <w:t>.</w:t>
      </w:r>
    </w:p>
    <w:p w14:paraId="393332C0" w14:textId="70866508" w:rsidR="00AF503D" w:rsidRDefault="00476D62" w:rsidP="00476D62">
      <w:r>
        <w:t>This report should therefore be seen as a good first start</w:t>
      </w:r>
      <w:r w:rsidR="00D15915">
        <w:rPr>
          <w:lang w:val="en-GB"/>
        </w:rPr>
        <w:t xml:space="preserve"> - </w:t>
      </w:r>
      <w:r>
        <w:t>more response</w:t>
      </w:r>
      <w:r w:rsidR="008E5CAB">
        <w:rPr>
          <w:lang w:val="en-GB"/>
        </w:rPr>
        <w:t xml:space="preserve">s are </w:t>
      </w:r>
      <w:r>
        <w:t>on the way and more results will follow this year.</w:t>
      </w:r>
    </w:p>
    <w:p w14:paraId="7230E65D" w14:textId="7FE48FEA" w:rsidR="00476D62" w:rsidRPr="000724B6" w:rsidRDefault="00476D62" w:rsidP="00B478D0">
      <w:pPr>
        <w:jc w:val="both"/>
        <w:rPr>
          <w:lang w:val="en-GB"/>
        </w:rPr>
      </w:pPr>
      <w:r>
        <w:t>Based on the results, we want to determine the top cancer cent</w:t>
      </w:r>
      <w:r w:rsidR="00160007">
        <w:rPr>
          <w:lang w:val="en-GB"/>
        </w:rPr>
        <w:t>re</w:t>
      </w:r>
      <w:r>
        <w:t xml:space="preserve">s </w:t>
      </w:r>
      <w:r w:rsidR="00160007">
        <w:rPr>
          <w:lang w:val="en-GB"/>
        </w:rPr>
        <w:t xml:space="preserve">of excellence </w:t>
      </w:r>
      <w:r>
        <w:t>per tumo</w:t>
      </w:r>
      <w:r w:rsidR="00AF503D">
        <w:rPr>
          <w:lang w:val="en-GB"/>
        </w:rPr>
        <w:t>u</w:t>
      </w:r>
      <w:r>
        <w:t>r type.</w:t>
      </w:r>
      <w:r w:rsidR="00AF503D">
        <w:rPr>
          <w:lang w:val="en-GB"/>
        </w:rPr>
        <w:t xml:space="preserve"> </w:t>
      </w:r>
      <w:r>
        <w:t>As the data from a previous study</w:t>
      </w:r>
      <w:r w:rsidR="007A7424">
        <w:rPr>
          <w:rStyle w:val="FootnoteReference"/>
        </w:rPr>
        <w:footnoteReference w:id="2"/>
      </w:r>
      <w:r>
        <w:t xml:space="preserve"> showed, the distribution of the </w:t>
      </w:r>
      <w:r w:rsidR="008C08B4">
        <w:rPr>
          <w:lang w:val="en-GB"/>
        </w:rPr>
        <w:t>centres of excellence</w:t>
      </w:r>
      <w:r>
        <w:t xml:space="preserve"> </w:t>
      </w:r>
      <w:r w:rsidR="006C6832">
        <w:rPr>
          <w:lang w:val="en-GB"/>
        </w:rPr>
        <w:t>named by the medical specialists</w:t>
      </w:r>
      <w:r w:rsidR="00CA2128">
        <w:rPr>
          <w:lang w:val="en-GB"/>
        </w:rPr>
        <w:t xml:space="preserve"> </w:t>
      </w:r>
      <w:r w:rsidR="00CA2128" w:rsidRPr="008C4A06">
        <w:rPr>
          <w:bCs/>
          <w:lang w:val="en-GB"/>
        </w:rPr>
        <w:t>tends to be</w:t>
      </w:r>
      <w:r w:rsidR="008C4A06" w:rsidRPr="008C4A06">
        <w:rPr>
          <w:lang w:val="en-GB"/>
        </w:rPr>
        <w:t xml:space="preserve"> </w:t>
      </w:r>
      <w:r w:rsidR="0002158C">
        <w:rPr>
          <w:lang w:val="en-GB"/>
        </w:rPr>
        <w:t xml:space="preserve">quite skewed. </w:t>
      </w:r>
      <w:r>
        <w:t xml:space="preserve">As an </w:t>
      </w:r>
      <w:r w:rsidR="00A03738">
        <w:t>example,</w:t>
      </w:r>
      <w:r>
        <w:t xml:space="preserve"> see </w:t>
      </w:r>
      <w:r w:rsidR="0002158C">
        <w:rPr>
          <w:lang w:val="en-GB"/>
        </w:rPr>
        <w:t>F</w:t>
      </w:r>
      <w:r>
        <w:t>igure 1 in which the</w:t>
      </w:r>
      <w:r w:rsidR="0002158C">
        <w:rPr>
          <w:lang w:val="en-GB"/>
        </w:rPr>
        <w:t xml:space="preserve"> </w:t>
      </w:r>
      <w:r>
        <w:t xml:space="preserve">results of the </w:t>
      </w:r>
      <w:r w:rsidR="00A03738">
        <w:rPr>
          <w:lang w:val="en-GB"/>
        </w:rPr>
        <w:t xml:space="preserve">previous </w:t>
      </w:r>
      <w:r>
        <w:t xml:space="preserve">survey </w:t>
      </w:r>
      <w:r w:rsidR="00A03738">
        <w:rPr>
          <w:lang w:val="en-GB"/>
        </w:rPr>
        <w:t>regarding</w:t>
      </w:r>
      <w:r>
        <w:t xml:space="preserve"> melanomas is shown. </w:t>
      </w:r>
      <w:r w:rsidR="00A03738">
        <w:rPr>
          <w:lang w:val="en-GB"/>
        </w:rPr>
        <w:t>We can see</w:t>
      </w:r>
      <w:r>
        <w:t xml:space="preserve"> that there is one hospital</w:t>
      </w:r>
      <w:r w:rsidR="00DD6AAD">
        <w:rPr>
          <w:lang w:val="en-GB"/>
        </w:rPr>
        <w:t xml:space="preserve"> far out in front</w:t>
      </w:r>
      <w:r>
        <w:t xml:space="preserve">, followed by two </w:t>
      </w:r>
      <w:r w:rsidR="00A03738">
        <w:rPr>
          <w:lang w:val="en-GB"/>
        </w:rPr>
        <w:t xml:space="preserve">other </w:t>
      </w:r>
      <w:r>
        <w:t>hospitals with 14 and 13 nominations</w:t>
      </w:r>
      <w:r w:rsidR="00C93E45">
        <w:rPr>
          <w:lang w:val="en-GB"/>
        </w:rPr>
        <w:t xml:space="preserve"> before the curve quickly tails off. </w:t>
      </w:r>
      <w:r>
        <w:t xml:space="preserve">We saw this phenomenon </w:t>
      </w:r>
      <w:r w:rsidR="00C93E45">
        <w:rPr>
          <w:lang w:val="en-GB"/>
        </w:rPr>
        <w:t>for</w:t>
      </w:r>
      <w:r>
        <w:t xml:space="preserve"> all tumo</w:t>
      </w:r>
      <w:r w:rsidR="00A03738">
        <w:rPr>
          <w:lang w:val="en-GB"/>
        </w:rPr>
        <w:t>u</w:t>
      </w:r>
      <w:r>
        <w:t>r types examined in 2012</w:t>
      </w:r>
      <w:r w:rsidR="00A03738">
        <w:rPr>
          <w:lang w:val="en-GB"/>
        </w:rPr>
        <w:t xml:space="preserve"> </w:t>
      </w:r>
      <w:r>
        <w:t xml:space="preserve">and </w:t>
      </w:r>
      <w:r w:rsidR="00A03738">
        <w:rPr>
          <w:lang w:val="en-GB"/>
        </w:rPr>
        <w:t>we are seeing it again</w:t>
      </w:r>
      <w:r>
        <w:t xml:space="preserve"> in 2020</w:t>
      </w:r>
      <w:r w:rsidR="00A03738">
        <w:rPr>
          <w:lang w:val="en-GB"/>
        </w:rPr>
        <w:t>.</w:t>
      </w:r>
      <w:r w:rsidR="00D8643A">
        <w:rPr>
          <w:lang w:val="en-GB"/>
        </w:rPr>
        <w:t xml:space="preserve"> </w:t>
      </w:r>
      <w:r w:rsidR="00862EEB">
        <w:rPr>
          <w:lang w:val="en-GB"/>
        </w:rPr>
        <w:t>According to the medical specialists, t</w:t>
      </w:r>
      <w:r w:rsidR="00D8643A">
        <w:rPr>
          <w:lang w:val="en-GB"/>
        </w:rPr>
        <w:t xml:space="preserve">here seems to be </w:t>
      </w:r>
      <w:r>
        <w:t>a small number of cancer cent</w:t>
      </w:r>
      <w:r w:rsidR="005C55C8">
        <w:rPr>
          <w:lang w:val="en-GB"/>
        </w:rPr>
        <w:t>re</w:t>
      </w:r>
      <w:r>
        <w:t>s that are at the top</w:t>
      </w:r>
      <w:r w:rsidR="005C55C8">
        <w:rPr>
          <w:lang w:val="en-GB"/>
        </w:rPr>
        <w:t xml:space="preserve">. </w:t>
      </w:r>
      <w:proofErr w:type="gramStart"/>
      <w:r w:rsidR="00E1255A">
        <w:rPr>
          <w:lang w:val="en-GB"/>
        </w:rPr>
        <w:t>In light of</w:t>
      </w:r>
      <w:proofErr w:type="gramEnd"/>
      <w:r w:rsidR="000724B6">
        <w:rPr>
          <w:lang w:val="en-GB"/>
        </w:rPr>
        <w:t xml:space="preserve"> this rapid tailing off, we</w:t>
      </w:r>
      <w:r w:rsidR="00B478D0">
        <w:rPr>
          <w:lang w:val="en-GB"/>
        </w:rPr>
        <w:t xml:space="preserve"> </w:t>
      </w:r>
      <w:r w:rsidR="000724B6">
        <w:rPr>
          <w:lang w:val="en-GB"/>
        </w:rPr>
        <w:t>choose to highlight</w:t>
      </w:r>
      <w:r>
        <w:t xml:space="preserve"> three hospitals a</w:t>
      </w:r>
      <w:r w:rsidR="000724B6">
        <w:rPr>
          <w:lang w:val="en-GB"/>
        </w:rPr>
        <w:t>t</w:t>
      </w:r>
      <w:r>
        <w:t xml:space="preserve"> the top</w:t>
      </w:r>
      <w:r w:rsidR="000724B6">
        <w:rPr>
          <w:lang w:val="en-GB"/>
        </w:rPr>
        <w:t xml:space="preserve"> for melanomas.</w:t>
      </w:r>
    </w:p>
    <w:p w14:paraId="6EF8A862" w14:textId="5460B674" w:rsidR="00476D62" w:rsidRDefault="00476D62" w:rsidP="00476D62"/>
    <w:p w14:paraId="34EC581B" w14:textId="59E98DF8" w:rsidR="003643ED" w:rsidRDefault="003643ED" w:rsidP="003643ED">
      <w:pPr>
        <w:jc w:val="center"/>
        <w:rPr>
          <w:i/>
          <w:iCs/>
        </w:rPr>
      </w:pPr>
      <w:r>
        <w:rPr>
          <w:noProof/>
          <w:lang w:val="nl-NL" w:eastAsia="nl-NL"/>
        </w:rPr>
        <w:drawing>
          <wp:inline distT="0" distB="0" distL="0" distR="0" wp14:anchorId="6FF858E1" wp14:editId="25769E42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DCFDEBD-EFD3-4D57-8B76-FD1F60585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E6F9F2" w14:textId="77777777" w:rsidR="003643ED" w:rsidRDefault="003643ED" w:rsidP="003643ED">
      <w:pPr>
        <w:jc w:val="center"/>
        <w:rPr>
          <w:i/>
          <w:iCs/>
        </w:rPr>
      </w:pPr>
    </w:p>
    <w:p w14:paraId="655C88DD" w14:textId="69FCDE3F" w:rsidR="00476D62" w:rsidRPr="00A06366" w:rsidRDefault="00476D62" w:rsidP="003643ED">
      <w:pPr>
        <w:jc w:val="center"/>
        <w:rPr>
          <w:i/>
          <w:iCs/>
          <w:lang w:val="en-GB"/>
        </w:rPr>
      </w:pPr>
      <w:r w:rsidRPr="00A06366">
        <w:rPr>
          <w:i/>
          <w:iCs/>
        </w:rPr>
        <w:t xml:space="preserve">Figure 1. Example of skewed distribution of </w:t>
      </w:r>
      <w:r w:rsidR="00004564" w:rsidRPr="00A06366">
        <w:rPr>
          <w:i/>
          <w:iCs/>
          <w:lang w:val="en-GB"/>
        </w:rPr>
        <w:t>hospital ranking</w:t>
      </w:r>
      <w:r w:rsidRPr="00A06366">
        <w:rPr>
          <w:i/>
          <w:iCs/>
        </w:rPr>
        <w:t xml:space="preserve"> for melanomas</w:t>
      </w:r>
      <w:r w:rsidR="00004564" w:rsidRPr="00A06366">
        <w:rPr>
          <w:i/>
          <w:iCs/>
          <w:lang w:val="en-GB"/>
        </w:rPr>
        <w:t xml:space="preserve"> </w:t>
      </w:r>
      <w:r w:rsidR="00004564" w:rsidRPr="00A06366">
        <w:rPr>
          <w:i/>
          <w:iCs/>
        </w:rPr>
        <w:t>by medical specialists</w:t>
      </w:r>
    </w:p>
    <w:p w14:paraId="5F7A0485" w14:textId="670C43A5" w:rsidR="00476D62" w:rsidRDefault="00476D62" w:rsidP="00476D62"/>
    <w:p w14:paraId="4CFD1A19" w14:textId="2D549300" w:rsidR="00476D62" w:rsidRPr="00EB0E55" w:rsidRDefault="00EB0E55" w:rsidP="00476D62">
      <w:pPr>
        <w:rPr>
          <w:b/>
          <w:bCs/>
        </w:rPr>
      </w:pPr>
      <w:r>
        <w:rPr>
          <w:b/>
          <w:bCs/>
          <w:lang w:val="en-GB"/>
        </w:rPr>
        <w:t>D</w:t>
      </w:r>
      <w:r w:rsidR="00476D62" w:rsidRPr="00EB0E55">
        <w:rPr>
          <w:b/>
          <w:bCs/>
        </w:rPr>
        <w:t>ata collection</w:t>
      </w:r>
    </w:p>
    <w:p w14:paraId="106D4D59" w14:textId="57345619" w:rsidR="00476D62" w:rsidRPr="00093B74" w:rsidRDefault="00476D62" w:rsidP="00093B74">
      <w:pPr>
        <w:jc w:val="both"/>
        <w:rPr>
          <w:lang w:val="en-GB"/>
        </w:rPr>
      </w:pPr>
      <w:r>
        <w:lastRenderedPageBreak/>
        <w:t>IQVIA contacted 1</w:t>
      </w:r>
      <w:r w:rsidR="00C254A0">
        <w:rPr>
          <w:lang w:val="en-GB"/>
        </w:rPr>
        <w:t xml:space="preserve"> </w:t>
      </w:r>
      <w:r>
        <w:t xml:space="preserve">803 medical specialists </w:t>
      </w:r>
      <w:r w:rsidR="002911BD">
        <w:rPr>
          <w:lang w:val="en-GB"/>
        </w:rPr>
        <w:t>(</w:t>
      </w:r>
      <w:r w:rsidR="002911BD">
        <w:t>pulmonologist</w:t>
      </w:r>
      <w:r w:rsidR="002911BD">
        <w:rPr>
          <w:lang w:val="en-GB"/>
        </w:rPr>
        <w:t>s</w:t>
      </w:r>
      <w:r w:rsidR="002911BD">
        <w:t>, radiotherapist</w:t>
      </w:r>
      <w:r w:rsidR="002911BD">
        <w:rPr>
          <w:lang w:val="en-GB"/>
        </w:rPr>
        <w:t>s</w:t>
      </w:r>
      <w:r w:rsidR="002911BD">
        <w:t>, surgeon</w:t>
      </w:r>
      <w:r w:rsidR="002911BD">
        <w:rPr>
          <w:lang w:val="en-GB"/>
        </w:rPr>
        <w:t>s</w:t>
      </w:r>
      <w:r w:rsidR="002911BD">
        <w:t>, pathologist</w:t>
      </w:r>
      <w:r w:rsidR="002911BD">
        <w:rPr>
          <w:lang w:val="en-GB"/>
        </w:rPr>
        <w:t>s</w:t>
      </w:r>
      <w:r w:rsidR="002911BD">
        <w:t>, internist-h</w:t>
      </w:r>
      <w:r w:rsidR="002911BD">
        <w:rPr>
          <w:lang w:val="en-GB"/>
        </w:rPr>
        <w:t>a</w:t>
      </w:r>
      <w:r w:rsidR="002911BD">
        <w:t>ematologist</w:t>
      </w:r>
      <w:r w:rsidR="002911BD">
        <w:rPr>
          <w:lang w:val="en-GB"/>
        </w:rPr>
        <w:t>s</w:t>
      </w:r>
      <w:r w:rsidR="002911BD">
        <w:t xml:space="preserve"> </w:t>
      </w:r>
      <w:r w:rsidR="002911BD">
        <w:rPr>
          <w:lang w:val="en-GB"/>
        </w:rPr>
        <w:t>and</w:t>
      </w:r>
      <w:r w:rsidR="002911BD">
        <w:t xml:space="preserve"> internist-oncologist</w:t>
      </w:r>
      <w:r w:rsidR="002911BD">
        <w:rPr>
          <w:lang w:val="en-GB"/>
        </w:rPr>
        <w:t xml:space="preserve">s) </w:t>
      </w:r>
      <w:r>
        <w:t>by email and/or letter.</w:t>
      </w:r>
      <w:r w:rsidR="00093B74">
        <w:rPr>
          <w:lang w:val="en-GB"/>
        </w:rPr>
        <w:t xml:space="preserve"> </w:t>
      </w:r>
      <w:r>
        <w:t xml:space="preserve">At </w:t>
      </w:r>
      <w:r w:rsidR="00093B74">
        <w:rPr>
          <w:lang w:val="en-GB"/>
        </w:rPr>
        <w:t>this point in time,</w:t>
      </w:r>
      <w:r>
        <w:t xml:space="preserve"> 167 medical specialists </w:t>
      </w:r>
      <w:r w:rsidR="00093B74">
        <w:rPr>
          <w:lang w:val="en-GB"/>
        </w:rPr>
        <w:t xml:space="preserve">have </w:t>
      </w:r>
      <w:r>
        <w:t>responded</w:t>
      </w:r>
      <w:r w:rsidR="00093B74">
        <w:rPr>
          <w:lang w:val="en-GB"/>
        </w:rPr>
        <w:t xml:space="preserve"> and the</w:t>
      </w:r>
      <w:r>
        <w:t xml:space="preserve"> response rate </w:t>
      </w:r>
      <w:r w:rsidR="00093B74">
        <w:rPr>
          <w:lang w:val="en-GB"/>
        </w:rPr>
        <w:t>of</w:t>
      </w:r>
      <w:r>
        <w:t xml:space="preserve"> 9%</w:t>
      </w:r>
      <w:r w:rsidR="00093B74">
        <w:rPr>
          <w:lang w:val="en-GB"/>
        </w:rPr>
        <w:t xml:space="preserve"> </w:t>
      </w:r>
      <w:r>
        <w:t>can be considered reasonably high for this survey method.</w:t>
      </w:r>
    </w:p>
    <w:p w14:paraId="3124D596" w14:textId="63D68C7E" w:rsidR="00476D62" w:rsidRDefault="00476D62" w:rsidP="00D118FE">
      <w:pPr>
        <w:jc w:val="both"/>
      </w:pPr>
      <w:r>
        <w:t xml:space="preserve">The fieldwork continues and the number of respondents will increase in the coming months. Special attention </w:t>
      </w:r>
      <w:r w:rsidR="00B02283">
        <w:rPr>
          <w:lang w:val="en-GB"/>
        </w:rPr>
        <w:t>will be</w:t>
      </w:r>
      <w:r>
        <w:t xml:space="preserve"> paid to medical specialis</w:t>
      </w:r>
      <w:proofErr w:type="spellStart"/>
      <w:r w:rsidR="00D118FE">
        <w:rPr>
          <w:lang w:val="en-GB"/>
        </w:rPr>
        <w:t>ms</w:t>
      </w:r>
      <w:proofErr w:type="spellEnd"/>
      <w:r>
        <w:t xml:space="preserve"> where the response rate is </w:t>
      </w:r>
      <w:r w:rsidR="002911BD">
        <w:rPr>
          <w:lang w:val="en-GB"/>
        </w:rPr>
        <w:t>currently</w:t>
      </w:r>
      <w:r>
        <w:t xml:space="preserve"> relatively </w:t>
      </w:r>
      <w:r w:rsidR="00B02283">
        <w:rPr>
          <w:lang w:val="en-GB"/>
        </w:rPr>
        <w:t>l</w:t>
      </w:r>
      <w:r>
        <w:t>ow.</w:t>
      </w:r>
    </w:p>
    <w:p w14:paraId="36CF515C" w14:textId="37AC53FB" w:rsidR="00476D62" w:rsidRPr="00DD7829" w:rsidRDefault="00476D62" w:rsidP="002911BD">
      <w:pPr>
        <w:jc w:val="both"/>
        <w:rPr>
          <w:lang w:val="en-GB"/>
        </w:rPr>
      </w:pPr>
      <w:r>
        <w:t>The results of the tumo</w:t>
      </w:r>
      <w:r w:rsidR="00D118FE">
        <w:rPr>
          <w:lang w:val="en-GB"/>
        </w:rPr>
        <w:t>u</w:t>
      </w:r>
      <w:r>
        <w:t>r types that we report here are based on the response</w:t>
      </w:r>
      <w:r w:rsidR="00D118FE">
        <w:rPr>
          <w:lang w:val="en-GB"/>
        </w:rPr>
        <w:t>s</w:t>
      </w:r>
      <w:r>
        <w:t xml:space="preserve"> from</w:t>
      </w:r>
      <w:r w:rsidR="00D118FE">
        <w:rPr>
          <w:lang w:val="en-GB"/>
        </w:rPr>
        <w:t xml:space="preserve"> </w:t>
      </w:r>
      <w:r>
        <w:t>76 medical specialists</w:t>
      </w:r>
      <w:r w:rsidR="00D118FE">
        <w:rPr>
          <w:lang w:val="en-GB"/>
        </w:rPr>
        <w:t xml:space="preserve"> </w:t>
      </w:r>
      <w:r>
        <w:t>includ</w:t>
      </w:r>
      <w:proofErr w:type="spellStart"/>
      <w:r w:rsidR="00D118FE">
        <w:rPr>
          <w:lang w:val="en-GB"/>
        </w:rPr>
        <w:t>ing</w:t>
      </w:r>
      <w:proofErr w:type="spellEnd"/>
      <w:r>
        <w:t xml:space="preserve"> many surgeons and internists. The response </w:t>
      </w:r>
      <w:r w:rsidR="00BF2211">
        <w:rPr>
          <w:lang w:val="en-GB"/>
        </w:rPr>
        <w:t>has been</w:t>
      </w:r>
      <w:r w:rsidR="00F904AD">
        <w:rPr>
          <w:lang w:val="en-GB"/>
        </w:rPr>
        <w:t xml:space="preserve"> </w:t>
      </w:r>
      <w:r>
        <w:t>checked for represent</w:t>
      </w:r>
      <w:proofErr w:type="spellStart"/>
      <w:r w:rsidR="00F904AD">
        <w:rPr>
          <w:lang w:val="en-GB"/>
        </w:rPr>
        <w:t>ivity</w:t>
      </w:r>
      <w:proofErr w:type="spellEnd"/>
      <w:r>
        <w:t xml:space="preserve"> with regard</w:t>
      </w:r>
      <w:r w:rsidR="00983619">
        <w:rPr>
          <w:lang w:val="en-GB"/>
        </w:rPr>
        <w:t>s</w:t>
      </w:r>
      <w:r>
        <w:t xml:space="preserve"> to regional distribution </w:t>
      </w:r>
      <w:r w:rsidR="00983619">
        <w:rPr>
          <w:lang w:val="en-GB"/>
        </w:rPr>
        <w:t>across</w:t>
      </w:r>
      <w:r>
        <w:t xml:space="preserve"> the Netherlands and the nature o</w:t>
      </w:r>
      <w:r w:rsidR="00983619">
        <w:rPr>
          <w:lang w:val="en-GB"/>
        </w:rPr>
        <w:t xml:space="preserve">f </w:t>
      </w:r>
      <w:r>
        <w:t>the medical special</w:t>
      </w:r>
      <w:r w:rsidR="00D84956">
        <w:rPr>
          <w:lang w:val="en-GB"/>
        </w:rPr>
        <w:t>ism</w:t>
      </w:r>
      <w:r w:rsidR="00DD7829">
        <w:rPr>
          <w:lang w:val="en-GB"/>
        </w:rPr>
        <w:t xml:space="preserve"> and </w:t>
      </w:r>
      <w:r w:rsidR="00647CD8">
        <w:rPr>
          <w:lang w:val="en-GB"/>
        </w:rPr>
        <w:t>both were</w:t>
      </w:r>
      <w:r w:rsidR="00DD7829">
        <w:rPr>
          <w:lang w:val="en-GB"/>
        </w:rPr>
        <w:t xml:space="preserve"> deemed acceptable.</w:t>
      </w:r>
    </w:p>
    <w:p w14:paraId="11C72EF8" w14:textId="30994BA5" w:rsidR="00476D62" w:rsidRPr="00210473" w:rsidRDefault="00182761" w:rsidP="00CF680E">
      <w:pPr>
        <w:jc w:val="both"/>
        <w:rPr>
          <w:lang w:val="en-GB"/>
        </w:rPr>
      </w:pPr>
      <w:r>
        <w:rPr>
          <w:lang w:val="en-GB"/>
        </w:rPr>
        <w:t>As far as we can assess, t</w:t>
      </w:r>
      <w:r w:rsidR="00476D62">
        <w:t xml:space="preserve">he quality of the results is </w:t>
      </w:r>
      <w:r>
        <w:rPr>
          <w:lang w:val="en-GB"/>
        </w:rPr>
        <w:t>good</w:t>
      </w:r>
      <w:r w:rsidR="00476D62">
        <w:t>. In some</w:t>
      </w:r>
      <w:r w:rsidR="00210473">
        <w:rPr>
          <w:lang w:val="en-GB"/>
        </w:rPr>
        <w:t xml:space="preserve"> </w:t>
      </w:r>
      <w:r w:rsidR="00476D62">
        <w:t xml:space="preserve">cases there </w:t>
      </w:r>
      <w:r w:rsidR="002977A9">
        <w:rPr>
          <w:lang w:val="en-GB"/>
        </w:rPr>
        <w:t>are</w:t>
      </w:r>
      <w:r w:rsidR="00210473">
        <w:rPr>
          <w:lang w:val="en-GB"/>
        </w:rPr>
        <w:t xml:space="preserve"> </w:t>
      </w:r>
      <w:r w:rsidR="00476D62">
        <w:t>partial non-response</w:t>
      </w:r>
      <w:r w:rsidR="002977A9">
        <w:rPr>
          <w:lang w:val="en-GB"/>
        </w:rPr>
        <w:t>s</w:t>
      </w:r>
      <w:r w:rsidR="00210473">
        <w:rPr>
          <w:lang w:val="en-GB"/>
        </w:rPr>
        <w:t xml:space="preserve"> when </w:t>
      </w:r>
      <w:r w:rsidR="00476D62">
        <w:t xml:space="preserve">a specialist </w:t>
      </w:r>
      <w:r w:rsidR="00210473">
        <w:rPr>
          <w:lang w:val="en-GB"/>
        </w:rPr>
        <w:t>has indicated</w:t>
      </w:r>
      <w:r w:rsidR="00476D62">
        <w:t xml:space="preserve"> “don't know” or </w:t>
      </w:r>
      <w:r w:rsidR="00210473">
        <w:rPr>
          <w:lang w:val="en-GB"/>
        </w:rPr>
        <w:t>hasn’t filled one of the fields.</w:t>
      </w:r>
    </w:p>
    <w:p w14:paraId="5C8C0F45" w14:textId="4FE488A6" w:rsidR="00476D62" w:rsidRPr="0073371D" w:rsidRDefault="00B74BD0" w:rsidP="00476D62">
      <w:pPr>
        <w:rPr>
          <w:lang w:val="en-GB"/>
        </w:rPr>
      </w:pPr>
      <w:proofErr w:type="gramStart"/>
      <w:r>
        <w:rPr>
          <w:lang w:val="en-GB"/>
        </w:rPr>
        <w:t>We’ve</w:t>
      </w:r>
      <w:proofErr w:type="gramEnd"/>
      <w:r>
        <w:rPr>
          <w:lang w:val="en-GB"/>
        </w:rPr>
        <w:t xml:space="preserve"> also checked</w:t>
      </w:r>
      <w:r w:rsidR="00476D62">
        <w:t xml:space="preserve"> whether there are</w:t>
      </w:r>
      <w:r w:rsidR="00A75D39">
        <w:rPr>
          <w:lang w:val="en-GB"/>
        </w:rPr>
        <w:t xml:space="preserve"> </w:t>
      </w:r>
      <w:r w:rsidR="00476D62">
        <w:t xml:space="preserve">specialists who vote for themselves. </w:t>
      </w:r>
      <w:r w:rsidR="0073371D">
        <w:rPr>
          <w:lang w:val="en-GB"/>
        </w:rPr>
        <w:t>This</w:t>
      </w:r>
      <w:r>
        <w:rPr>
          <w:lang w:val="en-GB"/>
        </w:rPr>
        <w:t xml:space="preserve"> is</w:t>
      </w:r>
      <w:r w:rsidR="00476D62">
        <w:t xml:space="preserve"> </w:t>
      </w:r>
      <w:r w:rsidR="001435DF">
        <w:rPr>
          <w:lang w:val="en-GB"/>
        </w:rPr>
        <w:t xml:space="preserve">a </w:t>
      </w:r>
      <w:r w:rsidR="00476D62">
        <w:t>possib</w:t>
      </w:r>
      <w:proofErr w:type="spellStart"/>
      <w:r w:rsidR="001435DF">
        <w:rPr>
          <w:lang w:val="en-GB"/>
        </w:rPr>
        <w:t>ility</w:t>
      </w:r>
      <w:proofErr w:type="spellEnd"/>
      <w:r w:rsidR="001435DF">
        <w:rPr>
          <w:lang w:val="en-GB"/>
        </w:rPr>
        <w:t xml:space="preserve">, </w:t>
      </w:r>
      <w:r w:rsidR="00476D62">
        <w:t xml:space="preserve">and </w:t>
      </w:r>
      <w:r w:rsidR="002977A9">
        <w:rPr>
          <w:lang w:val="en-GB"/>
        </w:rPr>
        <w:t xml:space="preserve">although </w:t>
      </w:r>
      <w:r w:rsidR="0073371D">
        <w:rPr>
          <w:lang w:val="en-GB"/>
        </w:rPr>
        <w:t xml:space="preserve">not </w:t>
      </w:r>
      <w:r w:rsidR="002977A9">
        <w:rPr>
          <w:lang w:val="en-GB"/>
        </w:rPr>
        <w:t xml:space="preserve">considered </w:t>
      </w:r>
      <w:r w:rsidR="00DF704B">
        <w:rPr>
          <w:lang w:val="en-GB"/>
        </w:rPr>
        <w:t xml:space="preserve">a </w:t>
      </w:r>
      <w:r w:rsidR="00476D62">
        <w:t>problem</w:t>
      </w:r>
      <w:r w:rsidR="00DF704B">
        <w:rPr>
          <w:lang w:val="en-GB"/>
        </w:rPr>
        <w:t xml:space="preserve"> per se</w:t>
      </w:r>
      <w:r w:rsidR="00476D62">
        <w:t xml:space="preserve">, the danger of </w:t>
      </w:r>
      <w:r w:rsidR="00AC7F28">
        <w:rPr>
          <w:lang w:val="en-GB"/>
        </w:rPr>
        <w:t xml:space="preserve">respondents </w:t>
      </w:r>
      <w:r w:rsidR="00DF704B">
        <w:rPr>
          <w:lang w:val="en-GB"/>
        </w:rPr>
        <w:t>voting for</w:t>
      </w:r>
      <w:r w:rsidR="00476D62">
        <w:t xml:space="preserve"> their own hospital is </w:t>
      </w:r>
      <w:r w:rsidR="001435DF">
        <w:rPr>
          <w:lang w:val="en-GB"/>
        </w:rPr>
        <w:t>always</w:t>
      </w:r>
      <w:r w:rsidR="00D90593">
        <w:rPr>
          <w:lang w:val="en-GB"/>
        </w:rPr>
        <w:t xml:space="preserve"> </w:t>
      </w:r>
      <w:r w:rsidR="0073371D">
        <w:rPr>
          <w:lang w:val="en-GB"/>
        </w:rPr>
        <w:t>l</w:t>
      </w:r>
      <w:r w:rsidR="00476D62">
        <w:t>urking</w:t>
      </w:r>
      <w:r w:rsidR="0073371D">
        <w:rPr>
          <w:lang w:val="en-GB"/>
        </w:rPr>
        <w:t>.</w:t>
      </w:r>
      <w:r w:rsidR="001435DF">
        <w:rPr>
          <w:lang w:val="en-GB"/>
        </w:rPr>
        <w:t xml:space="preserve"> </w:t>
      </w:r>
      <w:proofErr w:type="gramStart"/>
      <w:r w:rsidR="0073371D">
        <w:rPr>
          <w:lang w:val="en-GB"/>
        </w:rPr>
        <w:t>Finally</w:t>
      </w:r>
      <w:proofErr w:type="gramEnd"/>
      <w:r w:rsidR="0073371D">
        <w:rPr>
          <w:lang w:val="en-GB"/>
        </w:rPr>
        <w:t xml:space="preserve"> </w:t>
      </w:r>
      <w:r w:rsidR="00D90593">
        <w:rPr>
          <w:lang w:val="en-GB"/>
        </w:rPr>
        <w:t>no</w:t>
      </w:r>
      <w:r w:rsidR="00476D62">
        <w:t xml:space="preserve"> </w:t>
      </w:r>
      <w:r w:rsidR="001435DF">
        <w:rPr>
          <w:lang w:val="en-GB"/>
        </w:rPr>
        <w:t>observations</w:t>
      </w:r>
      <w:r w:rsidR="00476D62">
        <w:t xml:space="preserve"> </w:t>
      </w:r>
      <w:r w:rsidR="00D90593">
        <w:rPr>
          <w:lang w:val="en-GB"/>
        </w:rPr>
        <w:t xml:space="preserve">worth mentioning </w:t>
      </w:r>
      <w:r w:rsidR="0073371D">
        <w:rPr>
          <w:lang w:val="en-GB"/>
        </w:rPr>
        <w:t xml:space="preserve">emerged from </w:t>
      </w:r>
      <w:r w:rsidR="00476D62">
        <w:t>this audit</w:t>
      </w:r>
      <w:r w:rsidR="008F00C7">
        <w:rPr>
          <w:rStyle w:val="FootnoteReference"/>
        </w:rPr>
        <w:footnoteReference w:id="3"/>
      </w:r>
      <w:r w:rsidR="0073371D" w:rsidRPr="0073371D">
        <w:rPr>
          <w:lang w:val="en-GB"/>
        </w:rPr>
        <w:t>.</w:t>
      </w:r>
    </w:p>
    <w:p w14:paraId="002D6AF9" w14:textId="696D8DB9" w:rsidR="00476D62" w:rsidRDefault="00476D62" w:rsidP="00476D62"/>
    <w:p w14:paraId="237DBAB3" w14:textId="2E3BA953" w:rsidR="00476D62" w:rsidRPr="00EB0E55" w:rsidRDefault="00476D62" w:rsidP="00476D62">
      <w:pPr>
        <w:rPr>
          <w:b/>
          <w:bCs/>
        </w:rPr>
      </w:pPr>
      <w:r w:rsidRPr="00EB0E55">
        <w:rPr>
          <w:b/>
          <w:bCs/>
        </w:rPr>
        <w:t>Additional control</w:t>
      </w:r>
      <w:r w:rsidR="00176078" w:rsidRPr="00EB0E55">
        <w:rPr>
          <w:b/>
          <w:bCs/>
          <w:lang w:val="en-GB"/>
        </w:rPr>
        <w:t>s</w:t>
      </w:r>
      <w:r w:rsidRPr="00EB0E55">
        <w:rPr>
          <w:b/>
          <w:bCs/>
        </w:rPr>
        <w:t xml:space="preserve"> and reflection on the data and results</w:t>
      </w:r>
    </w:p>
    <w:p w14:paraId="4269CEFE" w14:textId="7578AB51" w:rsidR="00476D62" w:rsidRPr="00582203" w:rsidRDefault="00D404A5" w:rsidP="00D404A5">
      <w:pPr>
        <w:jc w:val="both"/>
        <w:rPr>
          <w:lang w:val="en-GB"/>
        </w:rPr>
      </w:pPr>
      <w:r>
        <w:rPr>
          <w:lang w:val="en-GB"/>
        </w:rPr>
        <w:t>Medical</w:t>
      </w:r>
      <w:r w:rsidR="00476D62">
        <w:t xml:space="preserve"> specialists </w:t>
      </w:r>
      <w:r>
        <w:rPr>
          <w:lang w:val="en-GB"/>
        </w:rPr>
        <w:t>were</w:t>
      </w:r>
      <w:r w:rsidR="00476D62">
        <w:t xml:space="preserve"> asked </w:t>
      </w:r>
      <w:r w:rsidR="00233A14">
        <w:rPr>
          <w:lang w:val="en-GB"/>
        </w:rPr>
        <w:t>to</w:t>
      </w:r>
      <w:r w:rsidR="00476D62">
        <w:t>: “</w:t>
      </w:r>
      <w:r w:rsidR="00176078">
        <w:rPr>
          <w:lang w:val="en-GB"/>
        </w:rPr>
        <w:t>Please</w:t>
      </w:r>
      <w:r w:rsidR="00176078">
        <w:t xml:space="preserve"> indicate </w:t>
      </w:r>
      <w:r w:rsidR="00176078">
        <w:rPr>
          <w:lang w:val="en-GB"/>
        </w:rPr>
        <w:t>for the</w:t>
      </w:r>
      <w:r w:rsidR="00176078">
        <w:t xml:space="preserve"> following oncological indications</w:t>
      </w:r>
      <w:r w:rsidR="00176078">
        <w:rPr>
          <w:lang w:val="en-GB"/>
        </w:rPr>
        <w:t xml:space="preserve"> which </w:t>
      </w:r>
      <w:r w:rsidR="00176078">
        <w:t>cancer cent</w:t>
      </w:r>
      <w:r w:rsidR="00176078">
        <w:rPr>
          <w:lang w:val="en-GB"/>
        </w:rPr>
        <w:t>re</w:t>
      </w:r>
      <w:r w:rsidR="00176078">
        <w:t>s</w:t>
      </w:r>
      <w:r w:rsidR="00176078">
        <w:rPr>
          <w:lang w:val="en-GB"/>
        </w:rPr>
        <w:t xml:space="preserve"> in the Netherlands, in your view, are</w:t>
      </w:r>
      <w:r w:rsidR="00176078">
        <w:t xml:space="preserve"> the top 3 in terms of quality of care”</w:t>
      </w:r>
      <w:r w:rsidR="00176078">
        <w:rPr>
          <w:lang w:val="en-GB"/>
        </w:rPr>
        <w:t xml:space="preserve">. </w:t>
      </w:r>
      <w:r w:rsidR="00476D62">
        <w:t>We have deliberately refrained from giving the specialist further guidance on how</w:t>
      </w:r>
      <w:r>
        <w:rPr>
          <w:lang w:val="en-GB"/>
        </w:rPr>
        <w:t xml:space="preserve"> </w:t>
      </w:r>
      <w:r w:rsidR="00541F95">
        <w:rPr>
          <w:lang w:val="en-GB"/>
        </w:rPr>
        <w:t>the term “</w:t>
      </w:r>
      <w:r w:rsidR="00476D62">
        <w:t>quality</w:t>
      </w:r>
      <w:r w:rsidR="00541F95">
        <w:rPr>
          <w:lang w:val="en-GB"/>
        </w:rPr>
        <w:t>”</w:t>
      </w:r>
      <w:r w:rsidR="00476D62">
        <w:t xml:space="preserve"> is defined, intended or experienced. On one hand, </w:t>
      </w:r>
      <w:r w:rsidR="00233A14">
        <w:rPr>
          <w:lang w:val="en-GB"/>
        </w:rPr>
        <w:t>we are surveying</w:t>
      </w:r>
      <w:r w:rsidR="00476D62">
        <w:t xml:space="preserve"> highly</w:t>
      </w:r>
      <w:r w:rsidR="00541F95">
        <w:rPr>
          <w:lang w:val="en-GB"/>
        </w:rPr>
        <w:t>-</w:t>
      </w:r>
      <w:r w:rsidR="00476D62">
        <w:t>educated professionals</w:t>
      </w:r>
      <w:r w:rsidR="00541F95">
        <w:rPr>
          <w:lang w:val="en-GB"/>
        </w:rPr>
        <w:t xml:space="preserve"> and, </w:t>
      </w:r>
      <w:r w:rsidR="00476D62">
        <w:t xml:space="preserve">on the other hand, the concept of quality is so </w:t>
      </w:r>
      <w:r w:rsidR="00582203">
        <w:rPr>
          <w:lang w:val="en-GB"/>
        </w:rPr>
        <w:t>vast</w:t>
      </w:r>
      <w:r w:rsidR="00476D62">
        <w:t xml:space="preserve"> and diverse that every </w:t>
      </w:r>
      <w:r w:rsidR="00582203">
        <w:rPr>
          <w:lang w:val="en-GB"/>
        </w:rPr>
        <w:t>additional</w:t>
      </w:r>
      <w:r w:rsidR="00476D62">
        <w:t xml:space="preserve"> detail</w:t>
      </w:r>
      <w:r>
        <w:rPr>
          <w:lang w:val="en-GB"/>
        </w:rPr>
        <w:t xml:space="preserve"> </w:t>
      </w:r>
      <w:r w:rsidR="00476D62">
        <w:t xml:space="preserve">could override the specialist's initial </w:t>
      </w:r>
      <w:r w:rsidR="00582203">
        <w:rPr>
          <w:lang w:val="en-GB"/>
        </w:rPr>
        <w:t>thoughts.</w:t>
      </w:r>
    </w:p>
    <w:p w14:paraId="23E2A2EB" w14:textId="153A672E" w:rsidR="00476D62" w:rsidRPr="004C4FCE" w:rsidRDefault="00476D62" w:rsidP="00476D62">
      <w:pPr>
        <w:rPr>
          <w:lang w:val="en-GB"/>
        </w:rPr>
      </w:pPr>
      <w:r>
        <w:t xml:space="preserve">We have </w:t>
      </w:r>
      <w:r w:rsidR="004C4FCE">
        <w:rPr>
          <w:lang w:val="en-GB"/>
        </w:rPr>
        <w:t xml:space="preserve">also </w:t>
      </w:r>
      <w:r>
        <w:t>refrained from including an additional question that read “</w:t>
      </w:r>
      <w:r w:rsidR="00AB6999">
        <w:rPr>
          <w:lang w:val="en-GB"/>
        </w:rPr>
        <w:t>Imagine that</w:t>
      </w:r>
      <w:r>
        <w:t xml:space="preserve"> your partner, child or parent</w:t>
      </w:r>
      <w:r w:rsidR="00AB6999">
        <w:rPr>
          <w:lang w:val="en-GB"/>
        </w:rPr>
        <w:t xml:space="preserve"> was</w:t>
      </w:r>
      <w:r>
        <w:t xml:space="preserve"> diagnosed with (…) cancer, which cent</w:t>
      </w:r>
      <w:r w:rsidR="00AB6999">
        <w:rPr>
          <w:lang w:val="en-GB"/>
        </w:rPr>
        <w:t>re</w:t>
      </w:r>
      <w:r>
        <w:t xml:space="preserve"> would you send </w:t>
      </w:r>
      <w:r w:rsidR="00AB6999">
        <w:rPr>
          <w:lang w:val="en-GB"/>
        </w:rPr>
        <w:t>them to</w:t>
      </w:r>
      <w:r>
        <w:t>?”</w:t>
      </w:r>
      <w:r w:rsidR="00333D0D">
        <w:rPr>
          <w:lang w:val="en-GB"/>
        </w:rPr>
        <w:t>, t</w:t>
      </w:r>
      <w:r>
        <w:t>he reaso</w:t>
      </w:r>
      <w:r w:rsidR="00333D0D">
        <w:rPr>
          <w:lang w:val="en-GB"/>
        </w:rPr>
        <w:t xml:space="preserve">n being </w:t>
      </w:r>
      <w:r>
        <w:t xml:space="preserve">that we strive for </w:t>
      </w:r>
      <w:r w:rsidR="004C4FCE">
        <w:rPr>
          <w:lang w:val="en-GB"/>
        </w:rPr>
        <w:t xml:space="preserve">our research questions to be </w:t>
      </w:r>
      <w:r>
        <w:t xml:space="preserve">professional and </w:t>
      </w:r>
      <w:r w:rsidR="006D575F">
        <w:rPr>
          <w:lang w:val="en-GB"/>
        </w:rPr>
        <w:t>pragmatic</w:t>
      </w:r>
      <w:r w:rsidR="004C4FCE">
        <w:rPr>
          <w:lang w:val="en-GB"/>
        </w:rPr>
        <w:t>.</w:t>
      </w:r>
    </w:p>
    <w:p w14:paraId="04578364" w14:textId="2C585172" w:rsidR="00476D62" w:rsidRDefault="00476D62" w:rsidP="00476D62"/>
    <w:p w14:paraId="24F02AFD" w14:textId="5D82E0E5" w:rsidR="00476D62" w:rsidRPr="005D7B43" w:rsidRDefault="00476D62" w:rsidP="005E5ABA">
      <w:pPr>
        <w:jc w:val="both"/>
        <w:rPr>
          <w:lang w:val="en-GB"/>
        </w:rPr>
      </w:pPr>
      <w:r>
        <w:t xml:space="preserve">To reflect on the results, </w:t>
      </w:r>
      <w:r w:rsidR="00450B0D">
        <w:rPr>
          <w:lang w:val="en-GB"/>
        </w:rPr>
        <w:t>we looked at the</w:t>
      </w:r>
      <w:r>
        <w:t xml:space="preserve"> extent to which the results </w:t>
      </w:r>
      <w:r w:rsidR="00450B0D">
        <w:rPr>
          <w:lang w:val="en-GB"/>
        </w:rPr>
        <w:t>discussed here</w:t>
      </w:r>
      <w:r>
        <w:t xml:space="preserve"> </w:t>
      </w:r>
      <w:r w:rsidR="00450B0D">
        <w:rPr>
          <w:lang w:val="en-GB"/>
        </w:rPr>
        <w:t>were</w:t>
      </w:r>
      <w:r>
        <w:t xml:space="preserve"> recognizable </w:t>
      </w:r>
      <w:r w:rsidR="00E6283C">
        <w:rPr>
          <w:lang w:val="en-GB"/>
        </w:rPr>
        <w:t>compared with</w:t>
      </w:r>
      <w:r>
        <w:t xml:space="preserve"> data from the </w:t>
      </w:r>
      <w:r w:rsidR="0014104B">
        <w:rPr>
          <w:lang w:val="en-GB"/>
        </w:rPr>
        <w:t xml:space="preserve">Dutch National </w:t>
      </w:r>
      <w:r w:rsidR="0014104B">
        <w:t>Health</w:t>
      </w:r>
      <w:r w:rsidR="0014104B">
        <w:rPr>
          <w:lang w:val="en-GB"/>
        </w:rPr>
        <w:t xml:space="preserve"> C</w:t>
      </w:r>
      <w:r w:rsidR="0014104B">
        <w:t>are Institute</w:t>
      </w:r>
      <w:r w:rsidR="00975BDE">
        <w:rPr>
          <w:rStyle w:val="FootnoteReference"/>
        </w:rPr>
        <w:footnoteReference w:id="4"/>
      </w:r>
      <w:r w:rsidR="005D7B43">
        <w:rPr>
          <w:lang w:val="en-GB"/>
        </w:rPr>
        <w:t>. What emerged was that:</w:t>
      </w:r>
    </w:p>
    <w:p w14:paraId="2CADE3F5" w14:textId="77777777" w:rsidR="00476D62" w:rsidRDefault="00476D62" w:rsidP="00476D62">
      <w:r>
        <w:t>1. The results were globally recognizable.</w:t>
      </w:r>
    </w:p>
    <w:p w14:paraId="262CFA62" w14:textId="00BE05A5" w:rsidR="003A1B4A" w:rsidRDefault="00476D62" w:rsidP="005E5ABA">
      <w:pPr>
        <w:jc w:val="both"/>
      </w:pPr>
      <w:r>
        <w:t xml:space="preserve">2. </w:t>
      </w:r>
      <w:r w:rsidR="003A1B4A">
        <w:rPr>
          <w:lang w:val="en-GB"/>
        </w:rPr>
        <w:t>In</w:t>
      </w:r>
      <w:r>
        <w:t xml:space="preserve"> the future</w:t>
      </w:r>
      <w:r w:rsidR="003A1B4A">
        <w:rPr>
          <w:lang w:val="en-GB"/>
        </w:rPr>
        <w:t xml:space="preserve">, </w:t>
      </w:r>
      <w:r>
        <w:t xml:space="preserve">a further nuance must be made </w:t>
      </w:r>
      <w:r w:rsidR="00793357">
        <w:rPr>
          <w:lang w:val="en-GB"/>
        </w:rPr>
        <w:t>between</w:t>
      </w:r>
      <w:r>
        <w:t xml:space="preserve"> “being excellent</w:t>
      </w:r>
      <w:r w:rsidR="00BF4F98">
        <w:rPr>
          <w:lang w:val="en-GB"/>
        </w:rPr>
        <w:t>”</w:t>
      </w:r>
      <w:r w:rsidR="00793357">
        <w:rPr>
          <w:lang w:val="en-GB"/>
        </w:rPr>
        <w:t xml:space="preserve"> </w:t>
      </w:r>
      <w:r>
        <w:t xml:space="preserve">in diagnostics and in </w:t>
      </w:r>
      <w:r w:rsidR="00793357">
        <w:rPr>
          <w:lang w:val="en-GB"/>
        </w:rPr>
        <w:t>“</w:t>
      </w:r>
      <w:r>
        <w:t>being excellent</w:t>
      </w:r>
      <w:r w:rsidR="00793357">
        <w:rPr>
          <w:lang w:val="en-GB"/>
        </w:rPr>
        <w:t>”</w:t>
      </w:r>
      <w:r>
        <w:t xml:space="preserve"> in treatment. The latter category </w:t>
      </w:r>
      <w:r w:rsidR="00793357">
        <w:rPr>
          <w:lang w:val="en-GB"/>
        </w:rPr>
        <w:t xml:space="preserve">can then </w:t>
      </w:r>
      <w:r>
        <w:t>be subdivided into surgery versus systemic or radiation</w:t>
      </w:r>
      <w:r w:rsidR="00BF4F98">
        <w:rPr>
          <w:lang w:val="en-GB"/>
        </w:rPr>
        <w:t xml:space="preserve"> </w:t>
      </w:r>
      <w:r w:rsidR="00BF4F98">
        <w:t>treatment</w:t>
      </w:r>
      <w:r>
        <w:t>.</w:t>
      </w:r>
    </w:p>
    <w:p w14:paraId="1B5F41D7" w14:textId="7EC1C08B" w:rsidR="00476D62" w:rsidRDefault="00476D62" w:rsidP="005E5ABA">
      <w:r>
        <w:t xml:space="preserve">3. </w:t>
      </w:r>
      <w:r w:rsidR="003A1B4A">
        <w:rPr>
          <w:lang w:val="en-GB"/>
        </w:rPr>
        <w:t>H</w:t>
      </w:r>
      <w:r>
        <w:t xml:space="preserve">ealth insurers have many relevant </w:t>
      </w:r>
      <w:r w:rsidR="001152D6">
        <w:rPr>
          <w:lang w:val="en-GB"/>
        </w:rPr>
        <w:t>analyses</w:t>
      </w:r>
      <w:r>
        <w:t xml:space="preserve"> </w:t>
      </w:r>
      <w:r w:rsidR="001152D6">
        <w:rPr>
          <w:lang w:val="en-GB"/>
        </w:rPr>
        <w:t xml:space="preserve">which are sometimes </w:t>
      </w:r>
      <w:r>
        <w:t>ma</w:t>
      </w:r>
      <w:r w:rsidR="001152D6">
        <w:rPr>
          <w:lang w:val="en-GB"/>
        </w:rPr>
        <w:t>d</w:t>
      </w:r>
      <w:r>
        <w:t>e available to their policyholders</w:t>
      </w:r>
      <w:r w:rsidR="001152D6">
        <w:rPr>
          <w:lang w:val="en-GB"/>
        </w:rPr>
        <w:t xml:space="preserve"> upon request from the insured.</w:t>
      </w:r>
      <w:r w:rsidR="00974063">
        <w:rPr>
          <w:lang w:val="en-GB"/>
        </w:rPr>
        <w:t xml:space="preserve"> </w:t>
      </w:r>
      <w:r>
        <w:t xml:space="preserve">This information can be requested online </w:t>
      </w:r>
      <w:r w:rsidR="00F95380" w:rsidRPr="00C03A66">
        <w:rPr>
          <w:lang w:val="nl-NL"/>
        </w:rPr>
        <w:t xml:space="preserve">(by clients </w:t>
      </w:r>
      <w:r w:rsidR="00F95380" w:rsidRPr="00C03A66">
        <w:rPr>
          <w:lang w:val="nl-NL"/>
        </w:rPr>
        <w:lastRenderedPageBreak/>
        <w:t xml:space="preserve">only) </w:t>
      </w:r>
      <w:r>
        <w:t>from Zilveren Kruis via</w:t>
      </w:r>
      <w:r w:rsidR="00DD2B11">
        <w:rPr>
          <w:lang w:val="en-GB"/>
        </w:rPr>
        <w:t xml:space="preserve"> </w:t>
      </w:r>
      <w:hyperlink r:id="rId10" w:history="1">
        <w:r w:rsidR="00B776CC" w:rsidRPr="00CF001B">
          <w:rPr>
            <w:rStyle w:val="Hyperlink"/>
            <w:sz w:val="18"/>
            <w:szCs w:val="18"/>
          </w:rPr>
          <w:t>https://www.zilverenkruis.nl/Consumenten/zorgreken/Paginas/zorgrapportaanvragen.aspx</w:t>
        </w:r>
      </w:hyperlink>
    </w:p>
    <w:p w14:paraId="58475E82" w14:textId="77777777" w:rsidR="00974063" w:rsidRDefault="00974063" w:rsidP="00476D62"/>
    <w:p w14:paraId="53394C25" w14:textId="363BC217" w:rsidR="00476D62" w:rsidRDefault="00476D62" w:rsidP="00DD2B11">
      <w:pPr>
        <w:jc w:val="both"/>
      </w:pPr>
      <w:r>
        <w:t xml:space="preserve">Although the dataset </w:t>
      </w:r>
      <w:r w:rsidR="00232A4E">
        <w:rPr>
          <w:lang w:val="en-GB"/>
        </w:rPr>
        <w:t>from</w:t>
      </w:r>
      <w:r>
        <w:t xml:space="preserve"> the medical specialists could be enriched</w:t>
      </w:r>
      <w:r w:rsidR="00232A4E">
        <w:rPr>
          <w:lang w:val="en-GB"/>
        </w:rPr>
        <w:t xml:space="preserve"> </w:t>
      </w:r>
      <w:r w:rsidR="00160C43">
        <w:rPr>
          <w:lang w:val="en-GB"/>
        </w:rPr>
        <w:t>with</w:t>
      </w:r>
      <w:r>
        <w:t xml:space="preserve"> data from the </w:t>
      </w:r>
      <w:r w:rsidR="0014104B">
        <w:rPr>
          <w:lang w:val="en-GB"/>
        </w:rPr>
        <w:t xml:space="preserve">Dutch National </w:t>
      </w:r>
      <w:r>
        <w:t>Health</w:t>
      </w:r>
      <w:r w:rsidR="0014104B">
        <w:rPr>
          <w:lang w:val="en-GB"/>
        </w:rPr>
        <w:t xml:space="preserve"> C</w:t>
      </w:r>
      <w:r>
        <w:t>are Institute, we have now decided not to do this.</w:t>
      </w:r>
      <w:r w:rsidR="00141B3C">
        <w:rPr>
          <w:lang w:val="en-GB"/>
        </w:rPr>
        <w:t xml:space="preserve"> </w:t>
      </w:r>
      <w:r w:rsidR="00106321">
        <w:rPr>
          <w:lang w:val="en-GB"/>
        </w:rPr>
        <w:t>In this way, the picture from the medical specialists remains clear</w:t>
      </w:r>
      <w:r w:rsidR="00452825">
        <w:rPr>
          <w:lang w:val="en-GB"/>
        </w:rPr>
        <w:t xml:space="preserve"> by letting </w:t>
      </w:r>
      <w:r w:rsidR="002C40F4">
        <w:rPr>
          <w:lang w:val="en-GB"/>
        </w:rPr>
        <w:t>them</w:t>
      </w:r>
      <w:r>
        <w:t xml:space="preserve"> have their say</w:t>
      </w:r>
      <w:r w:rsidR="00141B3C">
        <w:rPr>
          <w:lang w:val="en-GB"/>
        </w:rPr>
        <w:t xml:space="preserve"> </w:t>
      </w:r>
      <w:r>
        <w:t xml:space="preserve">about where they </w:t>
      </w:r>
      <w:r w:rsidR="002C40F4">
        <w:rPr>
          <w:lang w:val="en-GB"/>
        </w:rPr>
        <w:t>believe</w:t>
      </w:r>
      <w:r>
        <w:t xml:space="preserve"> the top three cancer cent</w:t>
      </w:r>
      <w:r w:rsidR="00141B3C">
        <w:rPr>
          <w:lang w:val="en-GB"/>
        </w:rPr>
        <w:t>re</w:t>
      </w:r>
      <w:r>
        <w:t xml:space="preserve">s </w:t>
      </w:r>
      <w:r w:rsidR="00141B3C">
        <w:rPr>
          <w:lang w:val="en-GB"/>
        </w:rPr>
        <w:t xml:space="preserve">of excellence </w:t>
      </w:r>
      <w:r>
        <w:t>are</w:t>
      </w:r>
      <w:r w:rsidR="00141B3C">
        <w:rPr>
          <w:lang w:val="en-GB"/>
        </w:rPr>
        <w:t xml:space="preserve"> located</w:t>
      </w:r>
      <w:r>
        <w:t>.</w:t>
      </w:r>
    </w:p>
    <w:p w14:paraId="20AE3223" w14:textId="55C63ECE" w:rsidR="00476D62" w:rsidRDefault="00476D62" w:rsidP="00476D62"/>
    <w:p w14:paraId="7A75F0AF" w14:textId="59F13466" w:rsidR="00476D62" w:rsidRPr="005E0EE9" w:rsidRDefault="00375A0E" w:rsidP="00476D62">
      <w:pPr>
        <w:rPr>
          <w:b/>
          <w:bCs/>
        </w:rPr>
      </w:pPr>
      <w:r>
        <w:rPr>
          <w:b/>
          <w:bCs/>
          <w:lang w:val="en-GB"/>
        </w:rPr>
        <w:t>In conclusion</w:t>
      </w:r>
    </w:p>
    <w:p w14:paraId="12C3D364" w14:textId="2061638C" w:rsidR="00476D62" w:rsidRPr="00EB6EF7" w:rsidRDefault="00476D62" w:rsidP="00452825">
      <w:pPr>
        <w:jc w:val="both"/>
        <w:rPr>
          <w:lang w:val="en-GB"/>
        </w:rPr>
      </w:pPr>
      <w:r>
        <w:t xml:space="preserve">This is an important interim result of the survey conducted by Inspire2Go and IQVIA </w:t>
      </w:r>
      <w:r w:rsidR="00833E75">
        <w:rPr>
          <w:lang w:val="en-GB"/>
        </w:rPr>
        <w:t xml:space="preserve">among </w:t>
      </w:r>
      <w:r>
        <w:t xml:space="preserve">medical specialists </w:t>
      </w:r>
      <w:r w:rsidR="00A560DD">
        <w:rPr>
          <w:lang w:val="en-GB"/>
        </w:rPr>
        <w:t>to find out wh</w:t>
      </w:r>
      <w:r w:rsidR="00EB6EF7">
        <w:rPr>
          <w:lang w:val="en-GB"/>
        </w:rPr>
        <w:t xml:space="preserve">ich - </w:t>
      </w:r>
      <w:r>
        <w:t xml:space="preserve">according to </w:t>
      </w:r>
      <w:r w:rsidR="00452825">
        <w:rPr>
          <w:lang w:val="en-GB"/>
        </w:rPr>
        <w:t>them</w:t>
      </w:r>
      <w:r>
        <w:t xml:space="preserve"> </w:t>
      </w:r>
      <w:r w:rsidR="00375A0E">
        <w:rPr>
          <w:lang w:val="en-GB"/>
        </w:rPr>
        <w:t>-</w:t>
      </w:r>
      <w:r>
        <w:t xml:space="preserve"> </w:t>
      </w:r>
      <w:r w:rsidR="00EB6EF7">
        <w:rPr>
          <w:lang w:val="en-GB"/>
        </w:rPr>
        <w:t xml:space="preserve">are </w:t>
      </w:r>
      <w:r>
        <w:t>the top 3 cancer cent</w:t>
      </w:r>
      <w:r w:rsidR="00EB6EF7">
        <w:rPr>
          <w:lang w:val="en-GB"/>
        </w:rPr>
        <w:t>re</w:t>
      </w:r>
      <w:r>
        <w:t>s in the Netherlands</w:t>
      </w:r>
      <w:r w:rsidR="00EB6EF7">
        <w:rPr>
          <w:lang w:val="en-GB"/>
        </w:rPr>
        <w:t xml:space="preserve"> in terms of quality of care.</w:t>
      </w:r>
    </w:p>
    <w:p w14:paraId="4A601E28" w14:textId="5334A269" w:rsidR="00476D62" w:rsidRDefault="00476D62" w:rsidP="00452825">
      <w:pPr>
        <w:jc w:val="both"/>
        <w:rPr>
          <w:lang w:val="en-GB"/>
        </w:rPr>
      </w:pPr>
      <w:r>
        <w:t>The response</w:t>
      </w:r>
      <w:r w:rsidR="00E970EB">
        <w:rPr>
          <w:lang w:val="en-GB"/>
        </w:rPr>
        <w:t>s</w:t>
      </w:r>
      <w:r>
        <w:t xml:space="preserve"> and distribution of the respondents </w:t>
      </w:r>
      <w:r w:rsidR="00F5634B">
        <w:rPr>
          <w:lang w:val="en-GB"/>
        </w:rPr>
        <w:t>ha</w:t>
      </w:r>
      <w:r w:rsidR="00E970EB">
        <w:rPr>
          <w:lang w:val="en-GB"/>
        </w:rPr>
        <w:t>ve</w:t>
      </w:r>
      <w:r w:rsidR="00F5634B">
        <w:rPr>
          <w:lang w:val="en-GB"/>
        </w:rPr>
        <w:t xml:space="preserve"> been</w:t>
      </w:r>
      <w:r>
        <w:t xml:space="preserve"> careful</w:t>
      </w:r>
      <w:proofErr w:type="spellStart"/>
      <w:r w:rsidR="00F5634B">
        <w:rPr>
          <w:lang w:val="en-GB"/>
        </w:rPr>
        <w:t>ly</w:t>
      </w:r>
      <w:proofErr w:type="spellEnd"/>
      <w:r w:rsidR="00612B1D">
        <w:rPr>
          <w:lang w:val="en-GB"/>
        </w:rPr>
        <w:t xml:space="preserve"> tested</w:t>
      </w:r>
      <w:r w:rsidR="00F5634B">
        <w:rPr>
          <w:lang w:val="en-GB"/>
        </w:rPr>
        <w:t xml:space="preserve"> and n</w:t>
      </w:r>
      <w:r>
        <w:t xml:space="preserve">ew results will </w:t>
      </w:r>
      <w:r w:rsidR="006443F2">
        <w:rPr>
          <w:lang w:val="en-GB"/>
        </w:rPr>
        <w:t>follow for other tumour types</w:t>
      </w:r>
      <w:r>
        <w:t xml:space="preserve"> in the course of 2020</w:t>
      </w:r>
      <w:r w:rsidR="006443F2">
        <w:rPr>
          <w:lang w:val="en-GB"/>
        </w:rPr>
        <w:t>.</w:t>
      </w:r>
    </w:p>
    <w:p w14:paraId="25478AF6" w14:textId="77777777" w:rsidR="00375A0E" w:rsidRPr="006443F2" w:rsidRDefault="00375A0E" w:rsidP="00452825">
      <w:pPr>
        <w:jc w:val="both"/>
        <w:rPr>
          <w:lang w:val="en-GB"/>
        </w:rPr>
      </w:pPr>
    </w:p>
    <w:p w14:paraId="7A8FD4F5" w14:textId="77777777" w:rsidR="00476D62" w:rsidRDefault="00476D62" w:rsidP="00476D62">
      <w:r>
        <w:t>On behalf of the research team of Inspire2Go and IQVIA,</w:t>
      </w:r>
    </w:p>
    <w:p w14:paraId="7AE9AD1E" w14:textId="77777777" w:rsidR="00476D62" w:rsidRDefault="00476D62" w:rsidP="00476D62">
      <w:r>
        <w:t>Prof. Dr. H.M.P. Kersten</w:t>
      </w:r>
    </w:p>
    <w:p w14:paraId="316459BA" w14:textId="397A6EA2" w:rsidR="00476D62" w:rsidRDefault="00476D62" w:rsidP="00476D62">
      <w:r>
        <w:t>March 17 2020</w:t>
      </w:r>
    </w:p>
    <w:p w14:paraId="22C15597" w14:textId="78E327B9" w:rsidR="00E32E78" w:rsidRDefault="00E32E78">
      <w:r>
        <w:br w:type="page"/>
      </w:r>
    </w:p>
    <w:p w14:paraId="291E6B15" w14:textId="43076828" w:rsidR="00BB0AFB" w:rsidRPr="00E32E78" w:rsidRDefault="00BB0AFB" w:rsidP="00476D62">
      <w:pPr>
        <w:rPr>
          <w:b/>
          <w:bCs/>
          <w:lang w:val="en-GB"/>
        </w:rPr>
      </w:pPr>
      <w:r w:rsidRPr="00E32E78">
        <w:rPr>
          <w:b/>
          <w:bCs/>
          <w:lang w:val="en-GB"/>
        </w:rPr>
        <w:lastRenderedPageBreak/>
        <w:t xml:space="preserve">Results as of March </w:t>
      </w:r>
      <w:proofErr w:type="gramStart"/>
      <w:r w:rsidRPr="00E32E78">
        <w:rPr>
          <w:b/>
          <w:bCs/>
          <w:lang w:val="en-GB"/>
        </w:rPr>
        <w:t>1</w:t>
      </w:r>
      <w:proofErr w:type="gramEnd"/>
      <w:r w:rsidRPr="00E32E78">
        <w:rPr>
          <w:b/>
          <w:bCs/>
          <w:lang w:val="en-GB"/>
        </w:rPr>
        <w:t xml:space="preserve"> 2020</w:t>
      </w:r>
    </w:p>
    <w:p w14:paraId="32921DFD" w14:textId="77777777" w:rsidR="00E32E78" w:rsidRDefault="00515FA1" w:rsidP="00476D62">
      <w:pPr>
        <w:rPr>
          <w:lang w:val="en-GB"/>
        </w:rPr>
      </w:pPr>
      <w:r>
        <w:rPr>
          <w:lang w:val="en-GB"/>
        </w:rPr>
        <w:t>As mentioned, results for more tumour types will follow later this year</w:t>
      </w:r>
      <w:r w:rsidR="004F5A49">
        <w:rPr>
          <w:lang w:val="en-GB"/>
        </w:rPr>
        <w:t xml:space="preserve"> and will be published on the Inspire2Go website.</w:t>
      </w:r>
    </w:p>
    <w:p w14:paraId="3A517A12" w14:textId="353282D7" w:rsidR="004F5A49" w:rsidRDefault="004F5A49" w:rsidP="00476D62">
      <w:pPr>
        <w:rPr>
          <w:lang w:val="en-GB"/>
        </w:rPr>
      </w:pPr>
      <w:r>
        <w:rPr>
          <w:lang w:val="en-GB"/>
        </w:rPr>
        <w:t xml:space="preserve">Please find below the results collected </w:t>
      </w:r>
      <w:r w:rsidR="00874436">
        <w:rPr>
          <w:lang w:val="en-GB"/>
        </w:rPr>
        <w:t xml:space="preserve">so far </w:t>
      </w:r>
      <w:r>
        <w:rPr>
          <w:lang w:val="en-GB"/>
        </w:rPr>
        <w:t xml:space="preserve">for 7 </w:t>
      </w:r>
      <w:r w:rsidR="00874436">
        <w:rPr>
          <w:lang w:val="en-GB"/>
        </w:rPr>
        <w:t>different tumour types:</w:t>
      </w:r>
    </w:p>
    <w:p w14:paraId="300FADE4" w14:textId="648EC670" w:rsidR="00235A82" w:rsidRDefault="00235A82" w:rsidP="00476D62">
      <w:pPr>
        <w:rPr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72"/>
        <w:gridCol w:w="841"/>
        <w:gridCol w:w="842"/>
        <w:gridCol w:w="1098"/>
        <w:gridCol w:w="998"/>
        <w:gridCol w:w="690"/>
        <w:gridCol w:w="709"/>
        <w:gridCol w:w="1417"/>
      </w:tblGrid>
      <w:tr w:rsidR="00C52590" w14:paraId="1CA0E3AE" w14:textId="77777777" w:rsidTr="00C52590">
        <w:tc>
          <w:tcPr>
            <w:tcW w:w="2472" w:type="dxa"/>
            <w:shd w:val="clear" w:color="auto" w:fill="E7E6E6" w:themeFill="background2"/>
          </w:tcPr>
          <w:p w14:paraId="1863BF2B" w14:textId="77777777" w:rsidR="009C65FF" w:rsidRPr="00A84721" w:rsidRDefault="009C65FF" w:rsidP="00476D62">
            <w:pPr>
              <w:rPr>
                <w:b/>
                <w:bCs/>
                <w:lang w:val="en-GB"/>
              </w:rPr>
            </w:pPr>
          </w:p>
        </w:tc>
        <w:tc>
          <w:tcPr>
            <w:tcW w:w="841" w:type="dxa"/>
            <w:shd w:val="clear" w:color="auto" w:fill="E7E6E6" w:themeFill="background2"/>
          </w:tcPr>
          <w:p w14:paraId="45A98E04" w14:textId="2F3DA510" w:rsidR="009C65FF" w:rsidRPr="00A84721" w:rsidRDefault="009C65FF" w:rsidP="00C4255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84721">
              <w:rPr>
                <w:b/>
                <w:bCs/>
                <w:sz w:val="18"/>
                <w:szCs w:val="18"/>
                <w:lang w:val="en-GB"/>
              </w:rPr>
              <w:t>Breast cancer</w:t>
            </w:r>
          </w:p>
        </w:tc>
        <w:tc>
          <w:tcPr>
            <w:tcW w:w="842" w:type="dxa"/>
            <w:shd w:val="clear" w:color="auto" w:fill="E7E6E6" w:themeFill="background2"/>
          </w:tcPr>
          <w:p w14:paraId="14BA0E8A" w14:textId="3395DBF7" w:rsidR="009C65FF" w:rsidRPr="00A84721" w:rsidRDefault="009C65FF" w:rsidP="00C4255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84721">
              <w:rPr>
                <w:b/>
                <w:bCs/>
                <w:sz w:val="18"/>
                <w:szCs w:val="18"/>
                <w:lang w:val="en-GB"/>
              </w:rPr>
              <w:t>Colon cancer</w:t>
            </w:r>
          </w:p>
        </w:tc>
        <w:tc>
          <w:tcPr>
            <w:tcW w:w="1098" w:type="dxa"/>
            <w:shd w:val="clear" w:color="auto" w:fill="E7E6E6" w:themeFill="background2"/>
          </w:tcPr>
          <w:p w14:paraId="40CC8ADE" w14:textId="10EF3755" w:rsidR="009C65FF" w:rsidRPr="00A84721" w:rsidRDefault="009C65FF" w:rsidP="00C4255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84721">
              <w:rPr>
                <w:b/>
                <w:bCs/>
                <w:sz w:val="18"/>
                <w:szCs w:val="18"/>
                <w:lang w:val="en-GB"/>
              </w:rPr>
              <w:t>Melanomas</w:t>
            </w:r>
          </w:p>
        </w:tc>
        <w:tc>
          <w:tcPr>
            <w:tcW w:w="998" w:type="dxa"/>
            <w:shd w:val="clear" w:color="auto" w:fill="E7E6E6" w:themeFill="background2"/>
          </w:tcPr>
          <w:p w14:paraId="01F82C1C" w14:textId="69E976A1" w:rsidR="009C65FF" w:rsidRPr="00A84721" w:rsidRDefault="009C65FF" w:rsidP="00C4255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84721">
              <w:rPr>
                <w:b/>
                <w:bCs/>
                <w:sz w:val="18"/>
                <w:szCs w:val="18"/>
                <w:lang w:val="en-GB"/>
              </w:rPr>
              <w:t>Pancreatic cancer</w:t>
            </w:r>
          </w:p>
        </w:tc>
        <w:tc>
          <w:tcPr>
            <w:tcW w:w="690" w:type="dxa"/>
            <w:shd w:val="clear" w:color="auto" w:fill="E7E6E6" w:themeFill="background2"/>
          </w:tcPr>
          <w:p w14:paraId="28C0F043" w14:textId="4769C81D" w:rsidR="009C65FF" w:rsidRPr="00A84721" w:rsidRDefault="001C6135" w:rsidP="00C4255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84721">
              <w:rPr>
                <w:b/>
                <w:bCs/>
                <w:sz w:val="18"/>
                <w:szCs w:val="18"/>
                <w:lang w:val="en-GB"/>
              </w:rPr>
              <w:t>NSCLC</w:t>
            </w:r>
          </w:p>
        </w:tc>
        <w:tc>
          <w:tcPr>
            <w:tcW w:w="709" w:type="dxa"/>
            <w:shd w:val="clear" w:color="auto" w:fill="E7E6E6" w:themeFill="background2"/>
          </w:tcPr>
          <w:p w14:paraId="0CCDF5C4" w14:textId="36AB8FB3" w:rsidR="009C65FF" w:rsidRPr="00A84721" w:rsidRDefault="001C6135" w:rsidP="00C4255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84721">
              <w:rPr>
                <w:b/>
                <w:bCs/>
                <w:sz w:val="18"/>
                <w:szCs w:val="18"/>
                <w:lang w:val="en-GB"/>
              </w:rPr>
              <w:t>SCLC</w:t>
            </w:r>
          </w:p>
        </w:tc>
        <w:tc>
          <w:tcPr>
            <w:tcW w:w="1417" w:type="dxa"/>
            <w:shd w:val="clear" w:color="auto" w:fill="E7E6E6" w:themeFill="background2"/>
          </w:tcPr>
          <w:p w14:paraId="545A05E4" w14:textId="3EB95AF3" w:rsidR="009C65FF" w:rsidRPr="00A84721" w:rsidRDefault="001C6135" w:rsidP="00C4255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84721">
              <w:rPr>
                <w:b/>
                <w:bCs/>
                <w:sz w:val="18"/>
                <w:szCs w:val="18"/>
                <w:lang w:val="en-GB"/>
              </w:rPr>
              <w:t>Oesophageal/</w:t>
            </w:r>
            <w:r w:rsidR="00C52590">
              <w:rPr>
                <w:b/>
                <w:bCs/>
                <w:sz w:val="18"/>
                <w:szCs w:val="18"/>
                <w:lang w:val="en-GB"/>
              </w:rPr>
              <w:br/>
            </w:r>
            <w:r w:rsidRPr="00A84721">
              <w:rPr>
                <w:b/>
                <w:bCs/>
                <w:sz w:val="18"/>
                <w:szCs w:val="18"/>
                <w:lang w:val="en-GB"/>
              </w:rPr>
              <w:t>stomach cancer</w:t>
            </w:r>
          </w:p>
        </w:tc>
      </w:tr>
      <w:tr w:rsidR="00C52590" w14:paraId="5E1E065E" w14:textId="77777777" w:rsidTr="00C52590">
        <w:tc>
          <w:tcPr>
            <w:tcW w:w="2472" w:type="dxa"/>
          </w:tcPr>
          <w:p w14:paraId="634B5A9B" w14:textId="4952A9D9" w:rsidR="009C65FF" w:rsidRPr="00835576" w:rsidRDefault="00502A12" w:rsidP="00476D62">
            <w:pPr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Amsterdam UMC</w:t>
            </w:r>
            <w:r w:rsidR="00E73D4E" w:rsidRPr="00835576">
              <w:rPr>
                <w:sz w:val="18"/>
                <w:szCs w:val="18"/>
                <w:lang w:val="en-GB"/>
              </w:rPr>
              <w:t>,</w:t>
            </w:r>
            <w:r w:rsidRPr="00835576">
              <w:rPr>
                <w:sz w:val="18"/>
                <w:szCs w:val="18"/>
                <w:lang w:val="en-GB"/>
              </w:rPr>
              <w:t xml:space="preserve"> AMC </w:t>
            </w:r>
            <w:r w:rsidR="006F623E" w:rsidRPr="00835576">
              <w:rPr>
                <w:sz w:val="18"/>
                <w:szCs w:val="18"/>
                <w:lang w:val="en-GB"/>
              </w:rPr>
              <w:t>site</w:t>
            </w:r>
          </w:p>
        </w:tc>
        <w:tc>
          <w:tcPr>
            <w:tcW w:w="841" w:type="dxa"/>
          </w:tcPr>
          <w:p w14:paraId="5CDFE8B0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dxa"/>
          </w:tcPr>
          <w:p w14:paraId="14EE95DC" w14:textId="7989E031" w:rsidR="009C65FF" w:rsidRPr="00835576" w:rsidRDefault="00BE3849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1098" w:type="dxa"/>
          </w:tcPr>
          <w:p w14:paraId="1FF7DE4F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</w:tcPr>
          <w:p w14:paraId="031837D2" w14:textId="0D7583C9" w:rsidR="009C65FF" w:rsidRPr="00835576" w:rsidRDefault="007D79A4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690" w:type="dxa"/>
          </w:tcPr>
          <w:p w14:paraId="532232D4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6204CA0E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CC86029" w14:textId="50B4D992" w:rsidR="009C65FF" w:rsidRPr="00835576" w:rsidRDefault="00CA61C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18</w:t>
            </w:r>
          </w:p>
        </w:tc>
      </w:tr>
      <w:tr w:rsidR="00C52590" w14:paraId="248C97AF" w14:textId="77777777" w:rsidTr="00C52590">
        <w:tc>
          <w:tcPr>
            <w:tcW w:w="2472" w:type="dxa"/>
          </w:tcPr>
          <w:p w14:paraId="40E73F8E" w14:textId="5C0D12A9" w:rsidR="009C65FF" w:rsidRPr="00835576" w:rsidRDefault="00502A12" w:rsidP="00476D62">
            <w:pPr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Amsterdam UMC</w:t>
            </w:r>
            <w:r w:rsidR="00E73D4E" w:rsidRPr="00835576">
              <w:rPr>
                <w:sz w:val="18"/>
                <w:szCs w:val="18"/>
                <w:lang w:val="en-GB"/>
              </w:rPr>
              <w:t xml:space="preserve">, </w:t>
            </w:r>
            <w:r w:rsidRPr="00835576">
              <w:rPr>
                <w:sz w:val="18"/>
                <w:szCs w:val="18"/>
                <w:lang w:val="en-GB"/>
              </w:rPr>
              <w:t xml:space="preserve">VU </w:t>
            </w:r>
            <w:r w:rsidR="006F623E" w:rsidRPr="00835576">
              <w:rPr>
                <w:sz w:val="18"/>
                <w:szCs w:val="18"/>
                <w:lang w:val="en-GB"/>
              </w:rPr>
              <w:t>site</w:t>
            </w:r>
          </w:p>
        </w:tc>
        <w:tc>
          <w:tcPr>
            <w:tcW w:w="841" w:type="dxa"/>
          </w:tcPr>
          <w:p w14:paraId="027E0AA6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dxa"/>
          </w:tcPr>
          <w:p w14:paraId="386B3089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14:paraId="0331D463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</w:tcPr>
          <w:p w14:paraId="29AD9190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690" w:type="dxa"/>
          </w:tcPr>
          <w:p w14:paraId="02B6129E" w14:textId="29B186B8" w:rsidR="009C65FF" w:rsidRPr="00835576" w:rsidRDefault="00BE1D43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709" w:type="dxa"/>
          </w:tcPr>
          <w:p w14:paraId="1DF4DE97" w14:textId="4A9D6F70" w:rsidR="009C65FF" w:rsidRPr="00835576" w:rsidRDefault="0027631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417" w:type="dxa"/>
          </w:tcPr>
          <w:p w14:paraId="560BFA42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52590" w14:paraId="7BB33070" w14:textId="77777777" w:rsidTr="00C52590">
        <w:tc>
          <w:tcPr>
            <w:tcW w:w="2472" w:type="dxa"/>
          </w:tcPr>
          <w:p w14:paraId="40A3E905" w14:textId="55997AB3" w:rsidR="009C65FF" w:rsidRPr="00835576" w:rsidRDefault="00502A12" w:rsidP="00476D62">
            <w:pPr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</w:rPr>
              <w:t>Antoni van Leeuwenhoek</w:t>
            </w:r>
          </w:p>
        </w:tc>
        <w:tc>
          <w:tcPr>
            <w:tcW w:w="841" w:type="dxa"/>
          </w:tcPr>
          <w:p w14:paraId="6B2F337D" w14:textId="3E920A07" w:rsidR="009C65FF" w:rsidRPr="00835576" w:rsidRDefault="007532AC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842" w:type="dxa"/>
          </w:tcPr>
          <w:p w14:paraId="0CD737FA" w14:textId="4D2A9B3B" w:rsidR="009C65FF" w:rsidRPr="00835576" w:rsidRDefault="00BE3849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1098" w:type="dxa"/>
          </w:tcPr>
          <w:p w14:paraId="378B2526" w14:textId="4E2199AE" w:rsidR="009C65FF" w:rsidRPr="00835576" w:rsidRDefault="007D79A4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32</w:t>
            </w:r>
          </w:p>
        </w:tc>
        <w:tc>
          <w:tcPr>
            <w:tcW w:w="998" w:type="dxa"/>
          </w:tcPr>
          <w:p w14:paraId="701CE68A" w14:textId="0661E21E" w:rsidR="009C65FF" w:rsidRPr="00835576" w:rsidRDefault="007D79A4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10*</w:t>
            </w:r>
          </w:p>
        </w:tc>
        <w:tc>
          <w:tcPr>
            <w:tcW w:w="690" w:type="dxa"/>
          </w:tcPr>
          <w:p w14:paraId="1FC51DC4" w14:textId="3CC1992E" w:rsidR="009C65FF" w:rsidRPr="00835576" w:rsidRDefault="00BE1D43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709" w:type="dxa"/>
          </w:tcPr>
          <w:p w14:paraId="6813B5C0" w14:textId="7C634F01" w:rsidR="009C65FF" w:rsidRPr="00835576" w:rsidRDefault="0027631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417" w:type="dxa"/>
          </w:tcPr>
          <w:p w14:paraId="573086E0" w14:textId="450BA5FB" w:rsidR="009C65FF" w:rsidRPr="00835576" w:rsidRDefault="00CA61C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7</w:t>
            </w:r>
          </w:p>
        </w:tc>
      </w:tr>
      <w:tr w:rsidR="00C52590" w14:paraId="1550E7E9" w14:textId="77777777" w:rsidTr="00C52590">
        <w:tc>
          <w:tcPr>
            <w:tcW w:w="2472" w:type="dxa"/>
          </w:tcPr>
          <w:p w14:paraId="24563C90" w14:textId="408C956B" w:rsidR="009C65FF" w:rsidRPr="00835576" w:rsidRDefault="00143A7F" w:rsidP="00476D62">
            <w:pPr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Erasmus MC</w:t>
            </w:r>
          </w:p>
        </w:tc>
        <w:tc>
          <w:tcPr>
            <w:tcW w:w="841" w:type="dxa"/>
          </w:tcPr>
          <w:p w14:paraId="1B5E2E2A" w14:textId="66D68F17" w:rsidR="009C65FF" w:rsidRPr="00835576" w:rsidRDefault="007532AC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842" w:type="dxa"/>
          </w:tcPr>
          <w:p w14:paraId="071DD089" w14:textId="5C7A1412" w:rsidR="009C65FF" w:rsidRPr="00835576" w:rsidRDefault="00BE3849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1098" w:type="dxa"/>
          </w:tcPr>
          <w:p w14:paraId="1DD5D1FE" w14:textId="0BB729E8" w:rsidR="009C65FF" w:rsidRPr="00835576" w:rsidRDefault="007D79A4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998" w:type="dxa"/>
          </w:tcPr>
          <w:p w14:paraId="2EE5B5EC" w14:textId="056B7486" w:rsidR="009C65FF" w:rsidRPr="00835576" w:rsidRDefault="007D79A4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690" w:type="dxa"/>
          </w:tcPr>
          <w:p w14:paraId="3D80DE80" w14:textId="2991CD39" w:rsidR="009C65FF" w:rsidRPr="00835576" w:rsidRDefault="00BE1D43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709" w:type="dxa"/>
          </w:tcPr>
          <w:p w14:paraId="13E49E15" w14:textId="72C033CF" w:rsidR="009C65FF" w:rsidRPr="00835576" w:rsidRDefault="0027631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1417" w:type="dxa"/>
          </w:tcPr>
          <w:p w14:paraId="44914D57" w14:textId="6624A747" w:rsidR="009C65FF" w:rsidRPr="00835576" w:rsidRDefault="00CA61C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20</w:t>
            </w:r>
          </w:p>
        </w:tc>
      </w:tr>
      <w:tr w:rsidR="00C52590" w14:paraId="3B8D2D48" w14:textId="77777777" w:rsidTr="00C52590">
        <w:tc>
          <w:tcPr>
            <w:tcW w:w="2472" w:type="dxa"/>
          </w:tcPr>
          <w:p w14:paraId="5BDD9F4C" w14:textId="5B58C4F0" w:rsidR="009C65FF" w:rsidRPr="00835576" w:rsidRDefault="00143A7F" w:rsidP="00476D62">
            <w:pPr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</w:rPr>
              <w:t>Maastricht UMC+</w:t>
            </w:r>
          </w:p>
        </w:tc>
        <w:tc>
          <w:tcPr>
            <w:tcW w:w="841" w:type="dxa"/>
          </w:tcPr>
          <w:p w14:paraId="603515A7" w14:textId="370B5C64" w:rsidR="009C65FF" w:rsidRPr="00835576" w:rsidRDefault="007532AC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842" w:type="dxa"/>
          </w:tcPr>
          <w:p w14:paraId="6F8C88D9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14:paraId="7D6ADD39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</w:tcPr>
          <w:p w14:paraId="07B5BF3C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690" w:type="dxa"/>
          </w:tcPr>
          <w:p w14:paraId="62760715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64FAA9DC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F535913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52590" w14:paraId="16E83449" w14:textId="77777777" w:rsidTr="00C52590">
        <w:tc>
          <w:tcPr>
            <w:tcW w:w="2472" w:type="dxa"/>
          </w:tcPr>
          <w:p w14:paraId="320EF4E7" w14:textId="425AB1CC" w:rsidR="009C65FF" w:rsidRPr="00835576" w:rsidRDefault="00143A7F" w:rsidP="00476D62">
            <w:pPr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Radboud UMC</w:t>
            </w:r>
          </w:p>
        </w:tc>
        <w:tc>
          <w:tcPr>
            <w:tcW w:w="841" w:type="dxa"/>
          </w:tcPr>
          <w:p w14:paraId="02D62248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dxa"/>
          </w:tcPr>
          <w:p w14:paraId="6BEDC7E5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14:paraId="1C1A8EB0" w14:textId="0D50EBAF" w:rsidR="009C65FF" w:rsidRPr="00835576" w:rsidRDefault="007D79A4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998" w:type="dxa"/>
          </w:tcPr>
          <w:p w14:paraId="41E0AF1C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690" w:type="dxa"/>
          </w:tcPr>
          <w:p w14:paraId="63AA8F59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214A42CB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38F12A15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52590" w14:paraId="3F70F899" w14:textId="77777777" w:rsidTr="00C52590">
        <w:tc>
          <w:tcPr>
            <w:tcW w:w="2472" w:type="dxa"/>
          </w:tcPr>
          <w:p w14:paraId="652A8106" w14:textId="63E62CCF" w:rsidR="009C65FF" w:rsidRPr="00835576" w:rsidRDefault="00143A7F" w:rsidP="00476D62">
            <w:pPr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</w:rPr>
              <w:t>UMC Utrecht, AZU</w:t>
            </w:r>
            <w:r w:rsidR="006F623E" w:rsidRPr="00835576">
              <w:rPr>
                <w:sz w:val="18"/>
                <w:szCs w:val="18"/>
                <w:lang w:val="en-GB"/>
              </w:rPr>
              <w:t xml:space="preserve"> site</w:t>
            </w:r>
          </w:p>
        </w:tc>
        <w:tc>
          <w:tcPr>
            <w:tcW w:w="841" w:type="dxa"/>
          </w:tcPr>
          <w:p w14:paraId="2AA4BF56" w14:textId="49E4391A" w:rsidR="009C65FF" w:rsidRPr="00835576" w:rsidRDefault="007532AC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842" w:type="dxa"/>
          </w:tcPr>
          <w:p w14:paraId="0D4D1F43" w14:textId="6A404737" w:rsidR="009C65FF" w:rsidRPr="00835576" w:rsidRDefault="00BE3849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098" w:type="dxa"/>
          </w:tcPr>
          <w:p w14:paraId="62B4F8B9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</w:tcPr>
          <w:p w14:paraId="53B6B190" w14:textId="4A8558C3" w:rsidR="009C65FF" w:rsidRPr="00835576" w:rsidRDefault="00BE1D43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90" w:type="dxa"/>
          </w:tcPr>
          <w:p w14:paraId="22C6D1C8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406AB1C9" w14:textId="77777777" w:rsidR="009C65FF" w:rsidRPr="00835576" w:rsidRDefault="009C65F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8333479" w14:textId="27323ED0" w:rsidR="009C65FF" w:rsidRPr="00835576" w:rsidRDefault="00CA61C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7</w:t>
            </w:r>
          </w:p>
        </w:tc>
      </w:tr>
      <w:tr w:rsidR="00C52590" w14:paraId="2B858C48" w14:textId="77777777" w:rsidTr="00C52590">
        <w:tc>
          <w:tcPr>
            <w:tcW w:w="2472" w:type="dxa"/>
          </w:tcPr>
          <w:p w14:paraId="0E954495" w14:textId="470EE754" w:rsidR="00143A7F" w:rsidRPr="00835576" w:rsidRDefault="00124457" w:rsidP="00476D62">
            <w:pPr>
              <w:rPr>
                <w:sz w:val="18"/>
                <w:szCs w:val="18"/>
              </w:rPr>
            </w:pPr>
            <w:r w:rsidRPr="00835576">
              <w:rPr>
                <w:sz w:val="18"/>
                <w:szCs w:val="18"/>
              </w:rPr>
              <w:t>UMCG Groningen</w:t>
            </w:r>
          </w:p>
        </w:tc>
        <w:tc>
          <w:tcPr>
            <w:tcW w:w="841" w:type="dxa"/>
          </w:tcPr>
          <w:p w14:paraId="0F74CB0B" w14:textId="77777777" w:rsidR="00143A7F" w:rsidRPr="00835576" w:rsidRDefault="00143A7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842" w:type="dxa"/>
          </w:tcPr>
          <w:p w14:paraId="0E9E2058" w14:textId="77777777" w:rsidR="00143A7F" w:rsidRPr="00835576" w:rsidRDefault="00143A7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14:paraId="634B7E0C" w14:textId="77777777" w:rsidR="00143A7F" w:rsidRPr="00835576" w:rsidRDefault="00143A7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8" w:type="dxa"/>
          </w:tcPr>
          <w:p w14:paraId="622F8765" w14:textId="78AAFF49" w:rsidR="00143A7F" w:rsidRPr="00835576" w:rsidRDefault="00BE1D43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90" w:type="dxa"/>
          </w:tcPr>
          <w:p w14:paraId="546A2341" w14:textId="164C411D" w:rsidR="00143A7F" w:rsidRPr="00835576" w:rsidRDefault="0027631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</w:tcPr>
          <w:p w14:paraId="06D74E3B" w14:textId="52908116" w:rsidR="00143A7F" w:rsidRPr="00835576" w:rsidRDefault="0027631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417" w:type="dxa"/>
          </w:tcPr>
          <w:p w14:paraId="0CE0EA34" w14:textId="77777777" w:rsidR="00143A7F" w:rsidRPr="00835576" w:rsidRDefault="00143A7F" w:rsidP="00C42550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C52590" w14:paraId="19B0C762" w14:textId="77777777" w:rsidTr="00C52590">
        <w:tc>
          <w:tcPr>
            <w:tcW w:w="2472" w:type="dxa"/>
          </w:tcPr>
          <w:p w14:paraId="3096B21D" w14:textId="33BB902B" w:rsidR="00143A7F" w:rsidRPr="00835576" w:rsidRDefault="00124457" w:rsidP="00476D62">
            <w:pPr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Nominations other hospitals</w:t>
            </w:r>
          </w:p>
        </w:tc>
        <w:tc>
          <w:tcPr>
            <w:tcW w:w="841" w:type="dxa"/>
          </w:tcPr>
          <w:p w14:paraId="203BBD22" w14:textId="74B332DD" w:rsidR="00143A7F" w:rsidRPr="00835576" w:rsidRDefault="007532AC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842" w:type="dxa"/>
          </w:tcPr>
          <w:p w14:paraId="2ED3767A" w14:textId="6F168D75" w:rsidR="00143A7F" w:rsidRPr="00835576" w:rsidRDefault="00BE3849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1098" w:type="dxa"/>
          </w:tcPr>
          <w:p w14:paraId="0174F7D9" w14:textId="44A7F492" w:rsidR="00143A7F" w:rsidRPr="00835576" w:rsidRDefault="007D79A4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998" w:type="dxa"/>
          </w:tcPr>
          <w:p w14:paraId="7F54E4EB" w14:textId="3F058643" w:rsidR="00143A7F" w:rsidRPr="00835576" w:rsidRDefault="00BE1D43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690" w:type="dxa"/>
          </w:tcPr>
          <w:p w14:paraId="76DF0833" w14:textId="467237C9" w:rsidR="00143A7F" w:rsidRPr="00835576" w:rsidRDefault="0027631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709" w:type="dxa"/>
          </w:tcPr>
          <w:p w14:paraId="654A896E" w14:textId="194B5F42" w:rsidR="00143A7F" w:rsidRPr="00835576" w:rsidRDefault="0027631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1417" w:type="dxa"/>
          </w:tcPr>
          <w:p w14:paraId="7787395E" w14:textId="207E7DB5" w:rsidR="00143A7F" w:rsidRPr="00835576" w:rsidRDefault="00CA61CA" w:rsidP="00C42550">
            <w:pPr>
              <w:jc w:val="right"/>
              <w:rPr>
                <w:sz w:val="18"/>
                <w:szCs w:val="18"/>
                <w:lang w:val="en-GB"/>
              </w:rPr>
            </w:pPr>
            <w:r w:rsidRPr="00835576">
              <w:rPr>
                <w:sz w:val="18"/>
                <w:szCs w:val="18"/>
                <w:lang w:val="en-GB"/>
              </w:rPr>
              <w:t>23</w:t>
            </w:r>
          </w:p>
        </w:tc>
      </w:tr>
      <w:tr w:rsidR="00C52590" w14:paraId="62478B79" w14:textId="77777777" w:rsidTr="00C52590">
        <w:tc>
          <w:tcPr>
            <w:tcW w:w="2472" w:type="dxa"/>
          </w:tcPr>
          <w:p w14:paraId="4411D639" w14:textId="5B787470" w:rsidR="00143A7F" w:rsidRPr="00A84721" w:rsidRDefault="00124457" w:rsidP="00476D62">
            <w:pPr>
              <w:rPr>
                <w:b/>
                <w:bCs/>
                <w:sz w:val="18"/>
                <w:szCs w:val="18"/>
                <w:lang w:val="en-GB"/>
              </w:rPr>
            </w:pPr>
            <w:r w:rsidRPr="00A84721">
              <w:rPr>
                <w:b/>
                <w:bCs/>
                <w:sz w:val="18"/>
                <w:szCs w:val="18"/>
                <w:lang w:val="en-GB"/>
              </w:rPr>
              <w:t>Total number nominations</w:t>
            </w:r>
          </w:p>
        </w:tc>
        <w:tc>
          <w:tcPr>
            <w:tcW w:w="841" w:type="dxa"/>
          </w:tcPr>
          <w:p w14:paraId="7B5423BE" w14:textId="0B27D53C" w:rsidR="00143A7F" w:rsidRPr="00835576" w:rsidRDefault="007532AC" w:rsidP="00C4255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35576">
              <w:rPr>
                <w:b/>
                <w:bCs/>
                <w:sz w:val="18"/>
                <w:szCs w:val="18"/>
                <w:lang w:val="en-GB"/>
              </w:rPr>
              <w:t>96</w:t>
            </w:r>
          </w:p>
        </w:tc>
        <w:tc>
          <w:tcPr>
            <w:tcW w:w="842" w:type="dxa"/>
          </w:tcPr>
          <w:p w14:paraId="65EC2476" w14:textId="0B323D10" w:rsidR="00143A7F" w:rsidRPr="00835576" w:rsidRDefault="00BE3849" w:rsidP="00C4255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35576">
              <w:rPr>
                <w:b/>
                <w:bCs/>
                <w:sz w:val="18"/>
                <w:szCs w:val="18"/>
                <w:lang w:val="en-GB"/>
              </w:rPr>
              <w:t>87</w:t>
            </w:r>
          </w:p>
        </w:tc>
        <w:tc>
          <w:tcPr>
            <w:tcW w:w="1098" w:type="dxa"/>
          </w:tcPr>
          <w:p w14:paraId="2F3FA733" w14:textId="0FFABFF8" w:rsidR="00143A7F" w:rsidRPr="00835576" w:rsidRDefault="007D79A4" w:rsidP="00C4255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35576">
              <w:rPr>
                <w:b/>
                <w:bCs/>
                <w:sz w:val="18"/>
                <w:szCs w:val="18"/>
                <w:lang w:val="en-GB"/>
              </w:rPr>
              <w:t>89</w:t>
            </w:r>
          </w:p>
        </w:tc>
        <w:tc>
          <w:tcPr>
            <w:tcW w:w="998" w:type="dxa"/>
          </w:tcPr>
          <w:p w14:paraId="37FE0B52" w14:textId="5F10FC72" w:rsidR="00143A7F" w:rsidRPr="00835576" w:rsidRDefault="00BE1D43" w:rsidP="00C4255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35576">
              <w:rPr>
                <w:b/>
                <w:bCs/>
                <w:sz w:val="18"/>
                <w:szCs w:val="18"/>
                <w:lang w:val="en-GB"/>
              </w:rPr>
              <w:t>92</w:t>
            </w:r>
          </w:p>
        </w:tc>
        <w:tc>
          <w:tcPr>
            <w:tcW w:w="690" w:type="dxa"/>
          </w:tcPr>
          <w:p w14:paraId="280520AF" w14:textId="06356CD9" w:rsidR="00143A7F" w:rsidRPr="00835576" w:rsidRDefault="0027631A" w:rsidP="00C4255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35576">
              <w:rPr>
                <w:b/>
                <w:bCs/>
                <w:sz w:val="18"/>
                <w:szCs w:val="18"/>
                <w:lang w:val="en-GB"/>
              </w:rPr>
              <w:t>86</w:t>
            </w:r>
          </w:p>
        </w:tc>
        <w:tc>
          <w:tcPr>
            <w:tcW w:w="709" w:type="dxa"/>
          </w:tcPr>
          <w:p w14:paraId="67C38F85" w14:textId="30555712" w:rsidR="00143A7F" w:rsidRPr="00835576" w:rsidRDefault="0027631A" w:rsidP="00C4255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35576">
              <w:rPr>
                <w:b/>
                <w:bCs/>
                <w:sz w:val="18"/>
                <w:szCs w:val="18"/>
                <w:lang w:val="en-GB"/>
              </w:rPr>
              <w:t>69</w:t>
            </w:r>
          </w:p>
        </w:tc>
        <w:tc>
          <w:tcPr>
            <w:tcW w:w="1417" w:type="dxa"/>
          </w:tcPr>
          <w:p w14:paraId="5465D920" w14:textId="0DD9AE2F" w:rsidR="00143A7F" w:rsidRPr="00835576" w:rsidRDefault="00CA61CA" w:rsidP="00C4255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835576">
              <w:rPr>
                <w:b/>
                <w:bCs/>
                <w:sz w:val="18"/>
                <w:szCs w:val="18"/>
                <w:lang w:val="en-GB"/>
              </w:rPr>
              <w:t>75</w:t>
            </w:r>
          </w:p>
        </w:tc>
      </w:tr>
    </w:tbl>
    <w:p w14:paraId="6B72CD27" w14:textId="07628604" w:rsidR="00071E50" w:rsidRDefault="00835576" w:rsidP="00835576">
      <w:pPr>
        <w:jc w:val="both"/>
        <w:rPr>
          <w:i/>
          <w:iCs/>
          <w:sz w:val="18"/>
          <w:szCs w:val="18"/>
          <w:lang w:val="en-GB"/>
        </w:rPr>
      </w:pPr>
      <w:r w:rsidRPr="00835576">
        <w:rPr>
          <w:i/>
          <w:iCs/>
          <w:sz w:val="18"/>
          <w:szCs w:val="18"/>
        </w:rPr>
        <w:t>*</w:t>
      </w:r>
      <w:r w:rsidRPr="00835576">
        <w:rPr>
          <w:i/>
          <w:iCs/>
          <w:sz w:val="18"/>
          <w:szCs w:val="18"/>
          <w:lang w:val="en-GB"/>
        </w:rPr>
        <w:t xml:space="preserve"> During the analysis of the results, it emerged that AVL does not treat patients with pancreatic cancer. </w:t>
      </w:r>
      <w:proofErr w:type="gramStart"/>
      <w:r w:rsidRPr="00835576">
        <w:rPr>
          <w:i/>
          <w:iCs/>
          <w:sz w:val="18"/>
          <w:szCs w:val="18"/>
          <w:lang w:val="en-GB"/>
        </w:rPr>
        <w:t>It would seem that AVL’s</w:t>
      </w:r>
      <w:proofErr w:type="gramEnd"/>
      <w:r w:rsidRPr="00835576">
        <w:rPr>
          <w:i/>
          <w:iCs/>
          <w:sz w:val="18"/>
          <w:szCs w:val="18"/>
          <w:lang w:val="en-GB"/>
        </w:rPr>
        <w:t xml:space="preserve"> international reputation in the field of pancreatic cancer research is reflected in these 10 nominations.</w:t>
      </w:r>
    </w:p>
    <w:p w14:paraId="69BC0DF5" w14:textId="77777777" w:rsidR="00835576" w:rsidRPr="00835576" w:rsidRDefault="00835576" w:rsidP="00835576">
      <w:pPr>
        <w:jc w:val="both"/>
        <w:rPr>
          <w:sz w:val="18"/>
          <w:szCs w:val="18"/>
          <w:lang w:val="en-GB"/>
        </w:rPr>
      </w:pPr>
    </w:p>
    <w:p w14:paraId="6CE0592B" w14:textId="08A6C961" w:rsidR="006E31FA" w:rsidRPr="006E31FA" w:rsidRDefault="006E31FA" w:rsidP="00476D62">
      <w:pPr>
        <w:rPr>
          <w:lang w:val="en-GB"/>
        </w:rPr>
      </w:pPr>
      <w:r>
        <w:rPr>
          <w:lang w:val="en-GB"/>
        </w:rPr>
        <w:t xml:space="preserve">Table 1: </w:t>
      </w:r>
      <w:r w:rsidR="005F23C6" w:rsidRPr="005F23C6">
        <w:rPr>
          <w:lang w:val="en-GB"/>
        </w:rPr>
        <w:t>Dutch cancer cent</w:t>
      </w:r>
      <w:r w:rsidR="005F23C6">
        <w:rPr>
          <w:lang w:val="en-GB"/>
        </w:rPr>
        <w:t>re</w:t>
      </w:r>
      <w:r w:rsidR="005F23C6" w:rsidRPr="005F23C6">
        <w:rPr>
          <w:lang w:val="en-GB"/>
        </w:rPr>
        <w:t>s that are considered by the medical specialists to be among the top</w:t>
      </w:r>
    </w:p>
    <w:sectPr w:rsidR="006E31FA" w:rsidRPr="006E31F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B58C5" w14:textId="77777777" w:rsidR="00536D85" w:rsidRDefault="00536D85" w:rsidP="00476D62">
      <w:pPr>
        <w:spacing w:after="0" w:line="240" w:lineRule="auto"/>
      </w:pPr>
      <w:r>
        <w:separator/>
      </w:r>
    </w:p>
  </w:endnote>
  <w:endnote w:type="continuationSeparator" w:id="0">
    <w:p w14:paraId="395C2CDF" w14:textId="77777777" w:rsidR="00536D85" w:rsidRDefault="00536D85" w:rsidP="0047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3244" w14:textId="77777777" w:rsidR="00536D85" w:rsidRDefault="00536D85" w:rsidP="00476D62">
      <w:pPr>
        <w:spacing w:after="0" w:line="240" w:lineRule="auto"/>
      </w:pPr>
      <w:r>
        <w:separator/>
      </w:r>
    </w:p>
  </w:footnote>
  <w:footnote w:type="continuationSeparator" w:id="0">
    <w:p w14:paraId="4868E256" w14:textId="77777777" w:rsidR="00536D85" w:rsidRDefault="00536D85" w:rsidP="00476D62">
      <w:pPr>
        <w:spacing w:after="0" w:line="240" w:lineRule="auto"/>
      </w:pPr>
      <w:r>
        <w:continuationSeparator/>
      </w:r>
    </w:p>
  </w:footnote>
  <w:footnote w:id="1">
    <w:p w14:paraId="3FE28F6F" w14:textId="04C5FBC9" w:rsidR="00CF4894" w:rsidRPr="002C3310" w:rsidRDefault="00CF4894">
      <w:pPr>
        <w:pStyle w:val="FootnoteText"/>
        <w:rPr>
          <w:i/>
          <w:iCs/>
          <w:lang w:val="en-GB"/>
        </w:rPr>
      </w:pPr>
      <w:r w:rsidRPr="002C3310">
        <w:rPr>
          <w:rStyle w:val="FootnoteReference"/>
          <w:i/>
          <w:iCs/>
          <w:sz w:val="18"/>
          <w:szCs w:val="18"/>
        </w:rPr>
        <w:footnoteRef/>
      </w:r>
      <w:r w:rsidRPr="002C3310">
        <w:rPr>
          <w:i/>
          <w:iCs/>
          <w:sz w:val="18"/>
          <w:szCs w:val="18"/>
        </w:rPr>
        <w:t xml:space="preserve"> </w:t>
      </w:r>
      <w:r w:rsidRPr="002C3310">
        <w:rPr>
          <w:i/>
          <w:iCs/>
          <w:sz w:val="18"/>
          <w:szCs w:val="18"/>
          <w:lang w:val="en-GB"/>
        </w:rPr>
        <w:t>See</w:t>
      </w:r>
      <w:r w:rsidRPr="002C3310">
        <w:rPr>
          <w:i/>
          <w:iCs/>
          <w:sz w:val="18"/>
          <w:szCs w:val="18"/>
        </w:rPr>
        <w:t xml:space="preserve"> https://www.iqvia.com/</w:t>
      </w:r>
    </w:p>
  </w:footnote>
  <w:footnote w:id="2">
    <w:p w14:paraId="5F9666C0" w14:textId="0DF1A3B3" w:rsidR="007A7424" w:rsidRPr="007A7424" w:rsidRDefault="007A742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A7424">
        <w:rPr>
          <w:i/>
          <w:iCs/>
          <w:sz w:val="18"/>
          <w:szCs w:val="18"/>
        </w:rPr>
        <w:t>Key Opinion</w:t>
      </w:r>
      <w:r w:rsidR="00F66288">
        <w:rPr>
          <w:i/>
          <w:iCs/>
          <w:sz w:val="18"/>
          <w:szCs w:val="18"/>
          <w:lang w:val="en-GB"/>
        </w:rPr>
        <w:t xml:space="preserve"> L</w:t>
      </w:r>
      <w:r w:rsidRPr="007A7424">
        <w:rPr>
          <w:i/>
          <w:iCs/>
          <w:sz w:val="18"/>
          <w:szCs w:val="18"/>
        </w:rPr>
        <w:t>eaders Oncologie, 2012, Cegedim</w:t>
      </w:r>
    </w:p>
  </w:footnote>
  <w:footnote w:id="3">
    <w:p w14:paraId="136417D4" w14:textId="25226297" w:rsidR="008F00C7" w:rsidRPr="008F00C7" w:rsidRDefault="008F00C7" w:rsidP="008F00C7">
      <w:pPr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8F00C7">
        <w:rPr>
          <w:i/>
          <w:iCs/>
          <w:sz w:val="18"/>
          <w:szCs w:val="18"/>
          <w:lang w:val="en-GB"/>
        </w:rPr>
        <w:t xml:space="preserve">In total 5% of the respondents nominated their own hospital which </w:t>
      </w:r>
      <w:proofErr w:type="gramStart"/>
      <w:r w:rsidRPr="008F00C7">
        <w:rPr>
          <w:i/>
          <w:iCs/>
          <w:sz w:val="18"/>
          <w:szCs w:val="18"/>
          <w:lang w:val="en-GB"/>
        </w:rPr>
        <w:t>doesn’t</w:t>
      </w:r>
      <w:proofErr w:type="gramEnd"/>
      <w:r w:rsidRPr="008F00C7">
        <w:rPr>
          <w:i/>
          <w:iCs/>
          <w:sz w:val="18"/>
          <w:szCs w:val="18"/>
          <w:lang w:val="en-GB"/>
        </w:rPr>
        <w:t xml:space="preserve"> change the total picture</w:t>
      </w:r>
    </w:p>
  </w:footnote>
  <w:footnote w:id="4">
    <w:p w14:paraId="7C94A817" w14:textId="1C75B4BB" w:rsidR="00975BDE" w:rsidRPr="00975BDE" w:rsidRDefault="00975BDE" w:rsidP="00975BDE">
      <w:r>
        <w:rPr>
          <w:rStyle w:val="FootnoteReference"/>
        </w:rPr>
        <w:footnoteRef/>
      </w:r>
      <w:r>
        <w:t xml:space="preserve"> </w:t>
      </w:r>
      <w:hyperlink r:id="rId1" w:history="1">
        <w:r w:rsidRPr="00975BDE">
          <w:rPr>
            <w:rStyle w:val="Hyperlink"/>
            <w:i/>
            <w:iCs/>
            <w:sz w:val="18"/>
            <w:szCs w:val="18"/>
          </w:rPr>
          <w:t>https://english.zorginstituutnederland.nl/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21EB" w14:textId="1C15A487" w:rsidR="00476D62" w:rsidRDefault="00476D62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5580E0" wp14:editId="5C2CF2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17f46e7baecf5adf94aa95f" descr="{&quot;HashCode&quot;:-11279572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4DE29" w14:textId="6B286C40" w:rsidR="00476D62" w:rsidRPr="00476D62" w:rsidRDefault="00476D62" w:rsidP="00476D6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76D6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Signify Classified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580E0" id="_x0000_t202" coordsize="21600,21600" o:spt="202" path="m,l,21600r21600,l21600,xe">
              <v:stroke joinstyle="miter"/>
              <v:path gradientshapeok="t" o:connecttype="rect"/>
            </v:shapetype>
            <v:shape id="MSIPCMe17f46e7baecf5adf94aa95f" o:spid="_x0000_s1026" type="#_x0000_t202" alt="{&quot;HashCode&quot;:-112795726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oQeSirICAABI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5BF4DE29" w14:textId="6B286C40" w:rsidR="00476D62" w:rsidRPr="00476D62" w:rsidRDefault="00476D62" w:rsidP="00476D6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76D62">
                      <w:rPr>
                        <w:rFonts w:ascii="Calibri" w:hAnsi="Calibri" w:cs="Calibri"/>
                        <w:color w:val="000000"/>
                        <w:sz w:val="20"/>
                      </w:rPr>
                      <w:t>Signify Classified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62"/>
    <w:rsid w:val="00004564"/>
    <w:rsid w:val="00015B10"/>
    <w:rsid w:val="0002158C"/>
    <w:rsid w:val="00046203"/>
    <w:rsid w:val="00071E50"/>
    <w:rsid w:val="000724B6"/>
    <w:rsid w:val="00093B74"/>
    <w:rsid w:val="000C27DD"/>
    <w:rsid w:val="00106321"/>
    <w:rsid w:val="001152D6"/>
    <w:rsid w:val="00124457"/>
    <w:rsid w:val="0012701B"/>
    <w:rsid w:val="00134463"/>
    <w:rsid w:val="0014104B"/>
    <w:rsid w:val="00141B3C"/>
    <w:rsid w:val="001435DF"/>
    <w:rsid w:val="00143A7F"/>
    <w:rsid w:val="00160007"/>
    <w:rsid w:val="00160C43"/>
    <w:rsid w:val="00176078"/>
    <w:rsid w:val="00182761"/>
    <w:rsid w:val="00191AD1"/>
    <w:rsid w:val="001B3B0F"/>
    <w:rsid w:val="001C6135"/>
    <w:rsid w:val="001D0C25"/>
    <w:rsid w:val="002002B8"/>
    <w:rsid w:val="00210473"/>
    <w:rsid w:val="002217B1"/>
    <w:rsid w:val="00232A4E"/>
    <w:rsid w:val="00233A14"/>
    <w:rsid w:val="00235A82"/>
    <w:rsid w:val="0027631A"/>
    <w:rsid w:val="002911BD"/>
    <w:rsid w:val="002977A9"/>
    <w:rsid w:val="002C3310"/>
    <w:rsid w:val="002C40F4"/>
    <w:rsid w:val="002E2927"/>
    <w:rsid w:val="002F72E6"/>
    <w:rsid w:val="00333D0D"/>
    <w:rsid w:val="00363A0B"/>
    <w:rsid w:val="003643ED"/>
    <w:rsid w:val="00370DA6"/>
    <w:rsid w:val="0037115A"/>
    <w:rsid w:val="00375A0E"/>
    <w:rsid w:val="0038356E"/>
    <w:rsid w:val="003A1B4A"/>
    <w:rsid w:val="003A5849"/>
    <w:rsid w:val="003B01CD"/>
    <w:rsid w:val="0041652C"/>
    <w:rsid w:val="00442E4A"/>
    <w:rsid w:val="00450B0D"/>
    <w:rsid w:val="00452825"/>
    <w:rsid w:val="00476D62"/>
    <w:rsid w:val="004800F6"/>
    <w:rsid w:val="00482CD9"/>
    <w:rsid w:val="004C4FCE"/>
    <w:rsid w:val="004D1203"/>
    <w:rsid w:val="004D3D3E"/>
    <w:rsid w:val="004F5A49"/>
    <w:rsid w:val="00502A12"/>
    <w:rsid w:val="00506E5C"/>
    <w:rsid w:val="00515FA1"/>
    <w:rsid w:val="00536D85"/>
    <w:rsid w:val="00541F95"/>
    <w:rsid w:val="005625D3"/>
    <w:rsid w:val="00582203"/>
    <w:rsid w:val="005C55C8"/>
    <w:rsid w:val="005D7B43"/>
    <w:rsid w:val="005E0EE9"/>
    <w:rsid w:val="005E5ABA"/>
    <w:rsid w:val="005F23C6"/>
    <w:rsid w:val="00604835"/>
    <w:rsid w:val="006102F0"/>
    <w:rsid w:val="00612B1D"/>
    <w:rsid w:val="006443F2"/>
    <w:rsid w:val="00647CD8"/>
    <w:rsid w:val="006A0985"/>
    <w:rsid w:val="006B2792"/>
    <w:rsid w:val="006C19B9"/>
    <w:rsid w:val="006C6832"/>
    <w:rsid w:val="006D575F"/>
    <w:rsid w:val="006E31FA"/>
    <w:rsid w:val="006E4DA6"/>
    <w:rsid w:val="006F623E"/>
    <w:rsid w:val="0073371D"/>
    <w:rsid w:val="007532AC"/>
    <w:rsid w:val="00754A53"/>
    <w:rsid w:val="00793357"/>
    <w:rsid w:val="007A7424"/>
    <w:rsid w:val="007B1B4E"/>
    <w:rsid w:val="007B4A7C"/>
    <w:rsid w:val="007D79A4"/>
    <w:rsid w:val="00810573"/>
    <w:rsid w:val="00823908"/>
    <w:rsid w:val="00833E75"/>
    <w:rsid w:val="00835576"/>
    <w:rsid w:val="0085017C"/>
    <w:rsid w:val="00862EEB"/>
    <w:rsid w:val="00874436"/>
    <w:rsid w:val="008A2C28"/>
    <w:rsid w:val="008C08B4"/>
    <w:rsid w:val="008C4A06"/>
    <w:rsid w:val="008D63E3"/>
    <w:rsid w:val="008E5CAB"/>
    <w:rsid w:val="008F00C7"/>
    <w:rsid w:val="008F4704"/>
    <w:rsid w:val="0092731D"/>
    <w:rsid w:val="00974063"/>
    <w:rsid w:val="00975BDE"/>
    <w:rsid w:val="00983619"/>
    <w:rsid w:val="009C65FF"/>
    <w:rsid w:val="009F3B18"/>
    <w:rsid w:val="00A03738"/>
    <w:rsid w:val="00A06366"/>
    <w:rsid w:val="00A24722"/>
    <w:rsid w:val="00A447F2"/>
    <w:rsid w:val="00A560DD"/>
    <w:rsid w:val="00A75D39"/>
    <w:rsid w:val="00A84721"/>
    <w:rsid w:val="00AB6999"/>
    <w:rsid w:val="00AB7732"/>
    <w:rsid w:val="00AC7F28"/>
    <w:rsid w:val="00AF503D"/>
    <w:rsid w:val="00AF552D"/>
    <w:rsid w:val="00B02283"/>
    <w:rsid w:val="00B24A73"/>
    <w:rsid w:val="00B478D0"/>
    <w:rsid w:val="00B53A24"/>
    <w:rsid w:val="00B53F00"/>
    <w:rsid w:val="00B74BD0"/>
    <w:rsid w:val="00B776CC"/>
    <w:rsid w:val="00BA0DCD"/>
    <w:rsid w:val="00BB0AFB"/>
    <w:rsid w:val="00BC7509"/>
    <w:rsid w:val="00BE1D43"/>
    <w:rsid w:val="00BE3849"/>
    <w:rsid w:val="00BF2211"/>
    <w:rsid w:val="00BF4F98"/>
    <w:rsid w:val="00C03A66"/>
    <w:rsid w:val="00C21FD0"/>
    <w:rsid w:val="00C254A0"/>
    <w:rsid w:val="00C3105F"/>
    <w:rsid w:val="00C31739"/>
    <w:rsid w:val="00C42550"/>
    <w:rsid w:val="00C46A45"/>
    <w:rsid w:val="00C52590"/>
    <w:rsid w:val="00C8344A"/>
    <w:rsid w:val="00C93E45"/>
    <w:rsid w:val="00CA2128"/>
    <w:rsid w:val="00CA61CA"/>
    <w:rsid w:val="00CB4E5B"/>
    <w:rsid w:val="00CF4894"/>
    <w:rsid w:val="00CF680E"/>
    <w:rsid w:val="00D06AAA"/>
    <w:rsid w:val="00D118FE"/>
    <w:rsid w:val="00D12CBD"/>
    <w:rsid w:val="00D15915"/>
    <w:rsid w:val="00D404A5"/>
    <w:rsid w:val="00D84159"/>
    <w:rsid w:val="00D84956"/>
    <w:rsid w:val="00D8643A"/>
    <w:rsid w:val="00D90593"/>
    <w:rsid w:val="00DD2B11"/>
    <w:rsid w:val="00DD6AAD"/>
    <w:rsid w:val="00DD7829"/>
    <w:rsid w:val="00DE6B2D"/>
    <w:rsid w:val="00DF704B"/>
    <w:rsid w:val="00E1255A"/>
    <w:rsid w:val="00E32E78"/>
    <w:rsid w:val="00E6283C"/>
    <w:rsid w:val="00E73D4E"/>
    <w:rsid w:val="00E970EB"/>
    <w:rsid w:val="00EB0E55"/>
    <w:rsid w:val="00EB6EF7"/>
    <w:rsid w:val="00EC3C87"/>
    <w:rsid w:val="00F51BC1"/>
    <w:rsid w:val="00F5634B"/>
    <w:rsid w:val="00F66288"/>
    <w:rsid w:val="00F81766"/>
    <w:rsid w:val="00F904AD"/>
    <w:rsid w:val="00F95380"/>
    <w:rsid w:val="00F95F30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215CE8"/>
  <w15:chartTrackingRefBased/>
  <w15:docId w15:val="{1342F3D8-2DE9-48A0-845A-563CFD5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62"/>
  </w:style>
  <w:style w:type="paragraph" w:styleId="Footer">
    <w:name w:val="footer"/>
    <w:basedOn w:val="Normal"/>
    <w:link w:val="FooterChar"/>
    <w:uiPriority w:val="99"/>
    <w:unhideWhenUsed/>
    <w:rsid w:val="00476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62"/>
  </w:style>
  <w:style w:type="character" w:styleId="Hyperlink">
    <w:name w:val="Hyperlink"/>
    <w:basedOn w:val="DefaultParagraphFont"/>
    <w:uiPriority w:val="99"/>
    <w:unhideWhenUsed/>
    <w:rsid w:val="00647CD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C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203"/>
    <w:pPr>
      <w:ind w:left="720"/>
      <w:contextualSpacing/>
    </w:pPr>
  </w:style>
  <w:style w:type="table" w:styleId="TableGrid">
    <w:name w:val="Table Grid"/>
    <w:basedOn w:val="TableNormal"/>
    <w:uiPriority w:val="39"/>
    <w:rsid w:val="009C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8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89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7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zilverenkruis.nl/Consumenten/zorgreken/Paginas/zorgrapportaanvragen.aspx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.zorginstituutnederland.nl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en-US" sz="1200">
                <a:latin typeface="+mn-lt"/>
              </a:rPr>
              <a:t>Hospitals</a:t>
            </a:r>
            <a:r>
              <a:rPr lang="en-US" sz="1200" baseline="0">
                <a:latin typeface="+mn-lt"/>
              </a:rPr>
              <a:t> ranked according to number of nominations for melanomas, 2020</a:t>
            </a:r>
            <a:endParaRPr lang="en-US" sz="1200"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en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Hosp. 1</c:v>
                </c:pt>
                <c:pt idx="1">
                  <c:v>Hosp. 2</c:v>
                </c:pt>
                <c:pt idx="2">
                  <c:v>Hosp. 3</c:v>
                </c:pt>
                <c:pt idx="3">
                  <c:v>Hosp. 4</c:v>
                </c:pt>
                <c:pt idx="4">
                  <c:v>Hosp. 5</c:v>
                </c:pt>
                <c:pt idx="5">
                  <c:v>Hosp. 6</c:v>
                </c:pt>
                <c:pt idx="6">
                  <c:v>Hosp. 7</c:v>
                </c:pt>
                <c:pt idx="7">
                  <c:v>Hosp. 8</c:v>
                </c:pt>
                <c:pt idx="8">
                  <c:v>Hosp. 9</c:v>
                </c:pt>
                <c:pt idx="9">
                  <c:v>Hosp. 10</c:v>
                </c:pt>
                <c:pt idx="10">
                  <c:v>Hosp. 11</c:v>
                </c:pt>
                <c:pt idx="11">
                  <c:v>Hosp. 12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32</c:v>
                </c:pt>
                <c:pt idx="1">
                  <c:v>14</c:v>
                </c:pt>
                <c:pt idx="2">
                  <c:v>13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6-4139-8AA1-587697A92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824024"/>
        <c:axId val="447825200"/>
      </c:barChart>
      <c:catAx>
        <c:axId val="44782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Arial" panose="020B0604020202020204" pitchFamily="34" charset="0"/>
              </a:defRPr>
            </a:pPr>
            <a:endParaRPr lang="en-NL"/>
          </a:p>
        </c:txPr>
        <c:crossAx val="447825200"/>
        <c:crosses val="autoZero"/>
        <c:auto val="1"/>
        <c:lblAlgn val="ctr"/>
        <c:lblOffset val="100"/>
        <c:noMultiLvlLbl val="0"/>
      </c:catAx>
      <c:valAx>
        <c:axId val="44782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Arial" panose="020B0604020202020204" pitchFamily="34" charset="0"/>
              </a:defRPr>
            </a:pPr>
            <a:endParaRPr lang="en-NL"/>
          </a:p>
        </c:txPr>
        <c:crossAx val="447824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950CD187E8C4491F8615337FD5EF4" ma:contentTypeVersion="13" ma:contentTypeDescription="Create a new document." ma:contentTypeScope="" ma:versionID="586994d8524780d0d1ed8e2e94004369">
  <xsd:schema xmlns:xsd="http://www.w3.org/2001/XMLSchema" xmlns:xs="http://www.w3.org/2001/XMLSchema" xmlns:p="http://schemas.microsoft.com/office/2006/metadata/properties" xmlns:ns3="8726689a-d44f-4763-bb6e-b99f0893f6c0" xmlns:ns4="9e31cb2a-8bc7-4171-ad18-b3e8d05b38af" targetNamespace="http://schemas.microsoft.com/office/2006/metadata/properties" ma:root="true" ma:fieldsID="9843b4b827f6bed2a5756740da651c35" ns3:_="" ns4:_="">
    <xsd:import namespace="8726689a-d44f-4763-bb6e-b99f0893f6c0"/>
    <xsd:import namespace="9e31cb2a-8bc7-4171-ad18-b3e8d05b3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689a-d44f-4763-bb6e-b99f0893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1cb2a-8bc7-4171-ad18-b3e8d05b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68C4D-B94F-4EBB-9416-DB66E79CB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1AAA2-45C7-4BDF-8B14-57384187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6689a-d44f-4763-bb6e-b99f0893f6c0"/>
    <ds:schemaRef ds:uri="9e31cb2a-8bc7-4171-ad18-b3e8d05b3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D78B2-79AA-4DB6-9EE9-B556A616B6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Bull</dc:creator>
  <cp:keywords/>
  <dc:description/>
  <cp:lastModifiedBy>Anthea Bull</cp:lastModifiedBy>
  <cp:revision>7</cp:revision>
  <dcterms:created xsi:type="dcterms:W3CDTF">2020-06-05T16:44:00Z</dcterms:created>
  <dcterms:modified xsi:type="dcterms:W3CDTF">2020-06-05T16:48:00Z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anthea.bull@signify.com</vt:lpwstr>
  </property>
  <property fmtid="{D5CDD505-2E9C-101B-9397-08002B2CF9AE}" pid="5" name="MSIP_Label_7def8eab-07d6-4849-8b43-f2fe9ec60b55_SetDate">
    <vt:lpwstr>2020-05-31T13:27:43.4264392Z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66146b7f-db67-47ac-8a29-5bf55ed8d062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  <property fmtid="{D5CDD505-2E9C-101B-9397-08002B2CF9AE}" pid="11" name="ContentTypeId">
    <vt:lpwstr>0x010100F98950CD187E8C4491F8615337FD5EF4</vt:lpwstr>
  </property>
</Properties>
</file>